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D3AC7D7" w:rsidR="00114762" w:rsidRPr="008474D1" w:rsidRDefault="00C7419E" w:rsidP="00B26C50">
            <w:pPr>
              <w:pStyle w:val="Heading2"/>
              <w:jc w:val="both"/>
              <w:rPr>
                <w:rFonts w:ascii="Tahoma" w:eastAsia="Times New Roman" w:hAnsi="Tahoma" w:cs="Times New Roman"/>
                <w:b w:val="0"/>
                <w:color w:val="auto"/>
                <w:sz w:val="22"/>
                <w:szCs w:val="24"/>
              </w:rPr>
            </w:pPr>
            <w:r w:rsidRPr="008474D1">
              <w:rPr>
                <w:rFonts w:ascii="Tahoma" w:eastAsia="Times New Roman" w:hAnsi="Tahoma" w:cs="Times New Roman"/>
                <w:b w:val="0"/>
                <w:color w:val="auto"/>
                <w:sz w:val="22"/>
                <w:szCs w:val="24"/>
              </w:rPr>
              <w:t xml:space="preserve">Curator </w:t>
            </w:r>
            <w:r w:rsidR="00C83376" w:rsidRPr="008474D1">
              <w:rPr>
                <w:rFonts w:ascii="Tahoma" w:eastAsia="Times New Roman" w:hAnsi="Tahoma" w:cs="Times New Roman"/>
                <w:b w:val="0"/>
                <w:color w:val="auto"/>
                <w:sz w:val="22"/>
                <w:szCs w:val="24"/>
              </w:rPr>
              <w:t xml:space="preserve">of </w:t>
            </w:r>
            <w:r w:rsidR="00826DB5" w:rsidRPr="008474D1">
              <w:rPr>
                <w:rFonts w:ascii="Tahoma" w:eastAsia="Times New Roman" w:hAnsi="Tahoma" w:cs="Times New Roman"/>
                <w:b w:val="0"/>
                <w:color w:val="auto"/>
                <w:sz w:val="22"/>
                <w:szCs w:val="24"/>
              </w:rPr>
              <w:t>Social History</w:t>
            </w:r>
            <w:r w:rsidR="00FD412A" w:rsidRPr="008474D1">
              <w:rPr>
                <w:rFonts w:ascii="Tahoma" w:eastAsia="Times New Roman" w:hAnsi="Tahoma" w:cs="Times New Roman"/>
                <w:b w:val="0"/>
                <w:color w:val="auto"/>
                <w:sz w:val="22"/>
                <w:szCs w:val="24"/>
              </w:rPr>
              <w:t xml:space="preserve"> </w:t>
            </w:r>
            <w:r w:rsidR="00611788" w:rsidRPr="008474D1">
              <w:rPr>
                <w:rFonts w:ascii="Tahoma" w:eastAsia="Times New Roman" w:hAnsi="Tahoma" w:cs="Times New Roman"/>
                <w:b w:val="0"/>
                <w:color w:val="auto"/>
                <w:sz w:val="22"/>
                <w:szCs w:val="24"/>
              </w:rPr>
              <w:t>(Maternity Cover)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2B2720C" w:rsidR="00DD3ED0" w:rsidRPr="008474D1" w:rsidRDefault="00C7419E" w:rsidP="00C7419E">
            <w:r w:rsidRPr="008474D1">
              <w:rPr>
                <w:rFonts w:ascii="Arial" w:hAnsi="Arial" w:cs="Arial"/>
              </w:rPr>
              <w:t>£</w:t>
            </w:r>
            <w:r w:rsidR="008474D1" w:rsidRPr="008474D1">
              <w:rPr>
                <w:rFonts w:ascii="Arial" w:hAnsi="Arial" w:cs="Arial"/>
              </w:rPr>
              <w:t>38,220-£40,777</w:t>
            </w:r>
            <w:r w:rsidRPr="008474D1">
              <w:rPr>
                <w:rFonts w:ascii="Arial" w:hAnsi="Arial" w:cs="Arial"/>
              </w:rPr>
              <w:t xml:space="preserve"> (pro rata £</w:t>
            </w:r>
            <w:r w:rsidR="008474D1" w:rsidRPr="008474D1">
              <w:rPr>
                <w:rFonts w:ascii="Arial" w:hAnsi="Arial" w:cs="Arial"/>
              </w:rPr>
              <w:t>23,758-£25,348</w:t>
            </w:r>
            <w:r w:rsidRPr="008474D1">
              <w:rPr>
                <w:rFonts w:ascii="Arial" w:hAnsi="Arial" w:cs="Arial"/>
              </w:rPr>
              <w:t>)</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A77A409" w:rsidR="00A405EF" w:rsidRPr="008474D1" w:rsidRDefault="00FD412A" w:rsidP="00DD3ED0">
            <w:r w:rsidRPr="008474D1">
              <w:t>1</w:t>
            </w:r>
            <w:r w:rsidR="00C7419E" w:rsidRPr="008474D1">
              <w:t>0</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58A3B7EF" w14:textId="00206D77" w:rsidR="00FD412A" w:rsidRPr="008474D1" w:rsidRDefault="00611788" w:rsidP="00DD3ED0">
            <w:r w:rsidRPr="008474D1">
              <w:t>23</w:t>
            </w:r>
            <w:r w:rsidR="00FD412A" w:rsidRPr="008474D1">
              <w:t xml:space="preserve"> hours / week (0.</w:t>
            </w:r>
            <w:r w:rsidR="008474D1" w:rsidRPr="008474D1">
              <w:t>62</w:t>
            </w:r>
            <w:r w:rsidR="00FD412A" w:rsidRPr="008474D1">
              <w:t xml:space="preserve"> FTE)</w:t>
            </w:r>
            <w:r w:rsidR="00114762" w:rsidRPr="008474D1">
              <w:t xml:space="preserve">  </w:t>
            </w:r>
          </w:p>
          <w:p w14:paraId="422EB13E" w14:textId="0B04F7D1" w:rsidR="00114762" w:rsidRPr="008474D1" w:rsidRDefault="005C6495" w:rsidP="00DD3ED0">
            <w:r w:rsidRPr="008474D1">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7D5F9A8" w:rsidR="00114762" w:rsidRDefault="00196033" w:rsidP="00DD3ED0">
            <w:r>
              <w:t xml:space="preserve">Libraries and Heritage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6D76624" w:rsidR="005021D7" w:rsidRDefault="00196033" w:rsidP="00DD3ED0">
            <w:r>
              <w:t xml:space="preserve">Oxfordshire Museum Service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7D2113E6" w:rsidR="00F50B0D" w:rsidRDefault="00A6585C" w:rsidP="00DD3ED0">
            <w:r>
              <w:rPr>
                <w:rFonts w:ascii="Arial" w:hAnsi="Arial" w:cs="Arial"/>
              </w:rPr>
              <w:t>Museum Resource Centre</w:t>
            </w:r>
            <w:r w:rsidR="00C7419E">
              <w:t xml:space="preserve">, </w:t>
            </w:r>
            <w:proofErr w:type="spellStart"/>
            <w:r w:rsidR="00C7419E">
              <w:t>Standlake</w:t>
            </w:r>
            <w:proofErr w:type="spellEnd"/>
            <w:r w:rsidR="00C7419E">
              <w:t>, near Witney</w:t>
            </w:r>
          </w:p>
          <w:p w14:paraId="39232083" w14:textId="7518EB84" w:rsidR="00114762" w:rsidRDefault="00114762" w:rsidP="00A6585C"/>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399ED22" w:rsidR="00DD3ED0" w:rsidRPr="009F0647" w:rsidRDefault="00FD412A" w:rsidP="00DD3ED0">
            <w:pPr>
              <w:rPr>
                <w:rFonts w:ascii="Arial" w:hAnsi="Arial" w:cs="Arial"/>
              </w:rPr>
            </w:pPr>
            <w:r>
              <w:rPr>
                <w:rFonts w:ascii="Arial" w:hAnsi="Arial" w:cs="Arial"/>
              </w:rPr>
              <w:t xml:space="preserve">As delegated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7F77EDC" w:rsidR="00DD3ED0" w:rsidRPr="009F0647" w:rsidRDefault="00FD412A" w:rsidP="00DD3ED0">
            <w:pPr>
              <w:rPr>
                <w:rFonts w:ascii="Arial" w:hAnsi="Arial" w:cs="Arial"/>
              </w:rPr>
            </w:pPr>
            <w:r>
              <w:rPr>
                <w:rFonts w:ascii="Arial" w:hAnsi="Arial" w:cs="Arial"/>
              </w:rPr>
              <w:t>Museum Service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6F3161F" w:rsidR="00114762" w:rsidRPr="009F0647" w:rsidRDefault="00CD6128" w:rsidP="00DD3ED0">
            <w:pPr>
              <w:rPr>
                <w:rFonts w:ascii="Arial" w:hAnsi="Arial" w:cs="Arial"/>
              </w:rPr>
            </w:pPr>
            <w:r>
              <w:rPr>
                <w:rFonts w:ascii="Arial" w:hAnsi="Arial" w:cs="Arial"/>
              </w:rPr>
              <w:t>Line management of the Registrar, Conservat</w:t>
            </w:r>
            <w:r w:rsidR="00611788">
              <w:rPr>
                <w:rFonts w:ascii="Arial" w:hAnsi="Arial" w:cs="Arial"/>
              </w:rPr>
              <w:t>or and Collections Assistant</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978836E" w:rsidR="00E709E9" w:rsidRPr="009F0647" w:rsidRDefault="00942771"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7A329F4" w14:textId="77777777" w:rsidR="00A6585C" w:rsidRPr="00B51C99" w:rsidRDefault="00A6585C" w:rsidP="00A6585C">
            <w:pPr>
              <w:spacing w:before="120"/>
              <w:rPr>
                <w:rFonts w:ascii="Arial" w:hAnsi="Arial" w:cs="Arial"/>
              </w:rPr>
            </w:pPr>
            <w:bookmarkStart w:id="0" w:name="_Hlk513794740"/>
            <w:r w:rsidRPr="00B51C99">
              <w:rPr>
                <w:rFonts w:ascii="Arial" w:hAnsi="Arial" w:cs="Arial"/>
              </w:rPr>
              <w:t>Supporting the work of the Oxfordshire Museum Service:</w:t>
            </w:r>
          </w:p>
          <w:p w14:paraId="6A433B36" w14:textId="77777777" w:rsidR="00196033" w:rsidRPr="00B51C99" w:rsidRDefault="00A6585C" w:rsidP="0003205F">
            <w:pPr>
              <w:pStyle w:val="ListParagraph"/>
              <w:numPr>
                <w:ilvl w:val="0"/>
                <w:numId w:val="22"/>
              </w:numPr>
              <w:rPr>
                <w:rFonts w:ascii="Arial" w:hAnsi="Arial" w:cs="Arial"/>
              </w:rPr>
            </w:pPr>
            <w:r w:rsidRPr="00B51C99">
              <w:rPr>
                <w:rFonts w:ascii="Arial" w:hAnsi="Arial" w:cs="Arial"/>
              </w:rPr>
              <w:t>by working as part of a team of paid staff and volunteers to promote public access to</w:t>
            </w:r>
            <w:r w:rsidR="006B36F9" w:rsidRPr="00B51C99">
              <w:rPr>
                <w:rFonts w:ascii="Arial" w:hAnsi="Arial" w:cs="Arial"/>
              </w:rPr>
              <w:t xml:space="preserve"> the service and </w:t>
            </w:r>
            <w:r w:rsidRPr="00B51C99">
              <w:rPr>
                <w:rFonts w:ascii="Arial" w:hAnsi="Arial" w:cs="Arial"/>
              </w:rPr>
              <w:t xml:space="preserve">the collections in </w:t>
            </w:r>
            <w:r w:rsidR="006B36F9" w:rsidRPr="00B51C99">
              <w:rPr>
                <w:rFonts w:ascii="Arial" w:hAnsi="Arial" w:cs="Arial"/>
              </w:rPr>
              <w:t>its</w:t>
            </w:r>
            <w:r w:rsidRPr="00B51C99">
              <w:rPr>
                <w:rFonts w:ascii="Arial" w:hAnsi="Arial" w:cs="Arial"/>
              </w:rPr>
              <w:t xml:space="preserve"> care</w:t>
            </w:r>
            <w:r w:rsidR="00196033" w:rsidRPr="00B51C99">
              <w:rPr>
                <w:rFonts w:ascii="Arial" w:hAnsi="Arial" w:cs="Arial"/>
              </w:rPr>
              <w:t xml:space="preserve"> </w:t>
            </w:r>
          </w:p>
          <w:p w14:paraId="104FC2DB" w14:textId="11830428" w:rsidR="0003205F" w:rsidRPr="00B51C99" w:rsidRDefault="0003205F" w:rsidP="0003205F">
            <w:pPr>
              <w:pStyle w:val="ListParagraph"/>
              <w:numPr>
                <w:ilvl w:val="0"/>
                <w:numId w:val="22"/>
              </w:numPr>
              <w:rPr>
                <w:rFonts w:ascii="Arial" w:hAnsi="Arial" w:cs="Arial"/>
              </w:rPr>
            </w:pPr>
            <w:r w:rsidRPr="00B51C99">
              <w:rPr>
                <w:rFonts w:ascii="Arial" w:hAnsi="Arial" w:cs="Arial"/>
              </w:rPr>
              <w:t>by forming part of the Museum Service management team, working with other managers to improve user’s experience of the service.</w:t>
            </w:r>
          </w:p>
          <w:p w14:paraId="2A2B7AFB" w14:textId="77777777" w:rsidR="00B26A95" w:rsidRPr="00B51C99" w:rsidRDefault="00B26A95" w:rsidP="00B26A95">
            <w:pPr>
              <w:pStyle w:val="ListParagraph"/>
              <w:numPr>
                <w:ilvl w:val="0"/>
                <w:numId w:val="22"/>
              </w:numPr>
              <w:spacing w:before="120"/>
              <w:rPr>
                <w:rFonts w:ascii="Arial" w:hAnsi="Arial" w:cs="Arial"/>
              </w:rPr>
            </w:pPr>
            <w:r w:rsidRPr="00B51C99">
              <w:rPr>
                <w:rFonts w:ascii="Arial" w:hAnsi="Arial" w:cs="Arial"/>
              </w:rPr>
              <w:t>by working within the wider Heritage Service to support strategic priorities</w:t>
            </w:r>
          </w:p>
          <w:p w14:paraId="78B54673" w14:textId="06D2B79B" w:rsidR="006B36F9" w:rsidRPr="00B51C99" w:rsidRDefault="006B36F9" w:rsidP="006B36F9">
            <w:pPr>
              <w:pStyle w:val="ListParagraph"/>
              <w:numPr>
                <w:ilvl w:val="0"/>
                <w:numId w:val="22"/>
              </w:numPr>
              <w:spacing w:before="120"/>
              <w:rPr>
                <w:rFonts w:ascii="Arial" w:hAnsi="Arial" w:cs="Arial"/>
              </w:rPr>
            </w:pPr>
            <w:r w:rsidRPr="00B51C99">
              <w:rPr>
                <w:rFonts w:ascii="Arial" w:hAnsi="Arial" w:cs="Arial"/>
              </w:rPr>
              <w:t>by working with partners to enhance the Museums Service offer, and widen participation</w:t>
            </w:r>
          </w:p>
          <w:p w14:paraId="1EBE8162" w14:textId="700A3DB1" w:rsidR="00A6585C" w:rsidRPr="00B51C99" w:rsidRDefault="00A6585C" w:rsidP="00196033">
            <w:pPr>
              <w:pStyle w:val="ListParagraph"/>
              <w:spacing w:before="120"/>
              <w:rPr>
                <w:rFonts w:ascii="Arial" w:hAnsi="Arial" w:cs="Arial"/>
                <w:sz w:val="16"/>
                <w:szCs w:val="16"/>
              </w:rPr>
            </w:pPr>
          </w:p>
          <w:p w14:paraId="0D764241" w14:textId="04C93877" w:rsidR="00A6585C" w:rsidRPr="00B51C99" w:rsidRDefault="00A6585C" w:rsidP="00A6585C">
            <w:pPr>
              <w:spacing w:before="120"/>
              <w:rPr>
                <w:rFonts w:ascii="Arial" w:hAnsi="Arial" w:cs="Arial"/>
              </w:rPr>
            </w:pPr>
            <w:r w:rsidRPr="00B51C99">
              <w:rPr>
                <w:rFonts w:ascii="Arial" w:hAnsi="Arial" w:cs="Arial"/>
              </w:rPr>
              <w:t>Deliver high</w:t>
            </w:r>
            <w:r w:rsidR="00CD6128" w:rsidRPr="00B51C99">
              <w:rPr>
                <w:rFonts w:ascii="Arial" w:hAnsi="Arial" w:cs="Arial"/>
              </w:rPr>
              <w:t xml:space="preserve"> standards of collections care, management and </w:t>
            </w:r>
            <w:r w:rsidR="00AA5BF3" w:rsidRPr="00B51C99">
              <w:rPr>
                <w:rFonts w:ascii="Arial" w:hAnsi="Arial" w:cs="Arial"/>
              </w:rPr>
              <w:t>public engagement</w:t>
            </w:r>
            <w:r w:rsidRPr="00B51C99">
              <w:rPr>
                <w:rFonts w:ascii="Arial" w:hAnsi="Arial" w:cs="Arial"/>
              </w:rPr>
              <w:t>:</w:t>
            </w:r>
          </w:p>
          <w:p w14:paraId="2DD77D6A" w14:textId="07FBE766" w:rsidR="003E4F9D" w:rsidRPr="00B51C99" w:rsidRDefault="00AA5BF3" w:rsidP="003E4F9D">
            <w:pPr>
              <w:pStyle w:val="ListParagraph"/>
              <w:numPr>
                <w:ilvl w:val="0"/>
                <w:numId w:val="22"/>
              </w:numPr>
              <w:spacing w:before="120"/>
              <w:rPr>
                <w:rFonts w:ascii="Arial" w:hAnsi="Arial" w:cs="Arial"/>
              </w:rPr>
            </w:pPr>
            <w:r w:rsidRPr="00B51C99">
              <w:rPr>
                <w:rFonts w:ascii="Arial" w:hAnsi="Arial" w:cs="Arial"/>
              </w:rPr>
              <w:t xml:space="preserve">applying sector best practise and standards </w:t>
            </w:r>
          </w:p>
          <w:p w14:paraId="6D3A5435" w14:textId="210570B7" w:rsidR="00AA5BF3" w:rsidRPr="00B51C99" w:rsidRDefault="00AA5BF3" w:rsidP="00AA5BF3">
            <w:pPr>
              <w:pStyle w:val="ListParagraph"/>
              <w:numPr>
                <w:ilvl w:val="0"/>
                <w:numId w:val="22"/>
              </w:numPr>
              <w:spacing w:before="120"/>
              <w:rPr>
                <w:rFonts w:ascii="Arial" w:hAnsi="Arial" w:cs="Arial"/>
              </w:rPr>
            </w:pPr>
            <w:r w:rsidRPr="00B51C99">
              <w:rPr>
                <w:rFonts w:ascii="Arial" w:hAnsi="Arial" w:cs="Arial"/>
              </w:rPr>
              <w:t>developing opportunities of engaging our users with the collections including digital outputs</w:t>
            </w:r>
          </w:p>
          <w:p w14:paraId="72BD68D9" w14:textId="3C52CAC2" w:rsidR="00AA5BF3" w:rsidRPr="00B51C99" w:rsidRDefault="00AA5BF3" w:rsidP="00AA5BF3">
            <w:pPr>
              <w:pStyle w:val="ListParagraph"/>
              <w:numPr>
                <w:ilvl w:val="0"/>
                <w:numId w:val="22"/>
              </w:numPr>
              <w:spacing w:before="120"/>
              <w:rPr>
                <w:rFonts w:ascii="Arial" w:hAnsi="Arial" w:cs="Arial"/>
              </w:rPr>
            </w:pPr>
            <w:r w:rsidRPr="00B51C99">
              <w:rPr>
                <w:rFonts w:ascii="Arial" w:hAnsi="Arial" w:cs="Arial"/>
              </w:rPr>
              <w:t xml:space="preserve">supporting activities related to collections management and storage </w:t>
            </w:r>
          </w:p>
          <w:p w14:paraId="324860F9" w14:textId="0AC655E4" w:rsidR="00A6585C" w:rsidRPr="00B51C99" w:rsidRDefault="00A6585C" w:rsidP="00A6585C">
            <w:pPr>
              <w:pStyle w:val="ListParagraph"/>
              <w:numPr>
                <w:ilvl w:val="0"/>
                <w:numId w:val="22"/>
              </w:numPr>
              <w:spacing w:before="120"/>
              <w:rPr>
                <w:rFonts w:ascii="Arial" w:hAnsi="Arial" w:cs="Arial"/>
              </w:rPr>
            </w:pPr>
            <w:r w:rsidRPr="00B51C99">
              <w:rPr>
                <w:rFonts w:ascii="Arial" w:hAnsi="Arial" w:cs="Arial"/>
              </w:rPr>
              <w:t>maximis</w:t>
            </w:r>
            <w:r w:rsidR="00AA5BF3" w:rsidRPr="00B51C99">
              <w:rPr>
                <w:rFonts w:ascii="Arial" w:hAnsi="Arial" w:cs="Arial"/>
              </w:rPr>
              <w:t>ing</w:t>
            </w:r>
            <w:r w:rsidRPr="00B51C99">
              <w:rPr>
                <w:rFonts w:ascii="Arial" w:hAnsi="Arial" w:cs="Arial"/>
              </w:rPr>
              <w:t xml:space="preserve"> our resources and assets for public good and seeking best value, realising opportunities </w:t>
            </w:r>
            <w:r w:rsidR="00AA5BF3" w:rsidRPr="00B51C99">
              <w:rPr>
                <w:rFonts w:ascii="Arial" w:hAnsi="Arial" w:cs="Arial"/>
              </w:rPr>
              <w:t xml:space="preserve">for effective working practises </w:t>
            </w:r>
          </w:p>
          <w:bookmarkEnd w:id="0"/>
          <w:p w14:paraId="3C2D4EAE" w14:textId="77777777" w:rsidR="00A6585C" w:rsidRDefault="00A6585C" w:rsidP="00A6585C">
            <w:pPr>
              <w:rPr>
                <w:rFonts w:ascii="Arial" w:hAnsi="Arial" w:cs="Arial"/>
              </w:rPr>
            </w:pPr>
          </w:p>
          <w:p w14:paraId="313031D2" w14:textId="77777777" w:rsidR="00A6585C" w:rsidRDefault="00A6585C" w:rsidP="00A6585C">
            <w:pPr>
              <w:rPr>
                <w:rFonts w:ascii="Arial" w:hAnsi="Arial" w:cs="Arial"/>
              </w:rPr>
            </w:pPr>
            <w:r>
              <w:rPr>
                <w:szCs w:val="22"/>
              </w:rPr>
              <w:t>The post holder will w</w:t>
            </w:r>
            <w:r w:rsidRPr="009035E8">
              <w:rPr>
                <w:szCs w:val="22"/>
              </w:rPr>
              <w:t>ork in accordance with the Co</w:t>
            </w:r>
            <w:r>
              <w:rPr>
                <w:szCs w:val="22"/>
              </w:rPr>
              <w:t>uncil</w:t>
            </w:r>
            <w:r w:rsidRPr="009035E8">
              <w:rPr>
                <w:szCs w:val="22"/>
              </w:rPr>
              <w:t xml:space="preserve"> values and competency framework</w:t>
            </w:r>
            <w:r>
              <w:rPr>
                <w:szCs w:val="22"/>
              </w:rPr>
              <w:t xml:space="preserve">: </w:t>
            </w:r>
            <w:hyperlink r:id="rId11" w:history="1">
              <w:r>
                <w:rPr>
                  <w:rStyle w:val="Hyperlink"/>
                </w:rPr>
                <w:t>Work for us | Jobs | Oxfordshire County Council</w:t>
              </w:r>
            </w:hyperlink>
          </w:p>
          <w:p w14:paraId="51BA6954" w14:textId="3197B4B8" w:rsidR="004946DF" w:rsidRPr="00B0457A" w:rsidRDefault="004946DF"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447450A8"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13A27E00" w14:textId="77777777" w:rsidR="00FA0434" w:rsidRDefault="00FA0434" w:rsidP="00FA0434">
            <w:pPr>
              <w:rPr>
                <w:noProof/>
                <w:szCs w:val="22"/>
              </w:rPr>
            </w:pPr>
          </w:p>
          <w:p w14:paraId="07AD61D3" w14:textId="6C974678" w:rsidR="00C12B88" w:rsidRDefault="00C12B88" w:rsidP="00FA0434">
            <w:pPr>
              <w:rPr>
                <w:noProof/>
                <w:szCs w:val="22"/>
              </w:rPr>
            </w:pPr>
            <w:r>
              <w:rPr>
                <w:noProof/>
                <w:szCs w:val="22"/>
              </w:rPr>
              <w:t>Management:</w:t>
            </w:r>
          </w:p>
          <w:p w14:paraId="2A07C9FE" w14:textId="0840026D" w:rsidR="00826DB5" w:rsidRDefault="00826DB5" w:rsidP="00826DB5">
            <w:pPr>
              <w:pStyle w:val="ListParagraph"/>
              <w:numPr>
                <w:ilvl w:val="0"/>
                <w:numId w:val="21"/>
              </w:numPr>
              <w:rPr>
                <w:rFonts w:ascii="Arial" w:hAnsi="Arial" w:cs="Arial"/>
                <w:noProof/>
                <w:szCs w:val="22"/>
              </w:rPr>
            </w:pPr>
            <w:r>
              <w:rPr>
                <w:rFonts w:ascii="Arial" w:hAnsi="Arial" w:cs="Arial"/>
                <w:noProof/>
                <w:szCs w:val="22"/>
              </w:rPr>
              <w:t xml:space="preserve">Line manage the Registrar, Conservator and </w:t>
            </w:r>
            <w:r w:rsidR="00B101F6">
              <w:rPr>
                <w:rFonts w:ascii="Arial" w:hAnsi="Arial" w:cs="Arial"/>
                <w:noProof/>
                <w:szCs w:val="22"/>
              </w:rPr>
              <w:t>Collections Assistant</w:t>
            </w:r>
            <w:r>
              <w:rPr>
                <w:rFonts w:ascii="Arial" w:hAnsi="Arial" w:cs="Arial"/>
                <w:noProof/>
                <w:szCs w:val="22"/>
              </w:rPr>
              <w:t xml:space="preserve"> </w:t>
            </w:r>
          </w:p>
          <w:p w14:paraId="60724C3A" w14:textId="67473E26" w:rsidR="00C12B88" w:rsidRPr="008618E1" w:rsidRDefault="00C12B88" w:rsidP="00C12B88">
            <w:pPr>
              <w:pStyle w:val="ListParagraph"/>
              <w:numPr>
                <w:ilvl w:val="0"/>
                <w:numId w:val="21"/>
              </w:numPr>
              <w:rPr>
                <w:rFonts w:ascii="Arial" w:hAnsi="Arial" w:cs="Arial"/>
                <w:noProof/>
                <w:szCs w:val="22"/>
              </w:rPr>
            </w:pPr>
            <w:r>
              <w:rPr>
                <w:rFonts w:ascii="Arial" w:hAnsi="Arial" w:cs="Arial"/>
                <w:noProof/>
                <w:szCs w:val="22"/>
              </w:rPr>
              <w:t xml:space="preserve">Alongside the Curator (Archaeology), </w:t>
            </w:r>
            <w:r w:rsidR="00F02386">
              <w:rPr>
                <w:rFonts w:ascii="Arial" w:hAnsi="Arial" w:cs="Arial"/>
                <w:noProof/>
                <w:szCs w:val="22"/>
              </w:rPr>
              <w:t>co-</w:t>
            </w:r>
            <w:r>
              <w:rPr>
                <w:rFonts w:ascii="Arial" w:hAnsi="Arial" w:cs="Arial"/>
                <w:noProof/>
                <w:szCs w:val="22"/>
              </w:rPr>
              <w:t xml:space="preserve">lead the Collections Team and form part of the Service </w:t>
            </w:r>
            <w:r w:rsidR="00826DB5" w:rsidRPr="008618E1">
              <w:rPr>
                <w:rFonts w:ascii="Arial" w:hAnsi="Arial" w:cs="Arial"/>
                <w:noProof/>
                <w:szCs w:val="22"/>
              </w:rPr>
              <w:t>m</w:t>
            </w:r>
            <w:r w:rsidRPr="008618E1">
              <w:rPr>
                <w:rFonts w:ascii="Arial" w:hAnsi="Arial" w:cs="Arial"/>
                <w:noProof/>
                <w:szCs w:val="22"/>
              </w:rPr>
              <w:t xml:space="preserve">anagement </w:t>
            </w:r>
            <w:r w:rsidR="00826DB5" w:rsidRPr="008618E1">
              <w:rPr>
                <w:rFonts w:ascii="Arial" w:hAnsi="Arial" w:cs="Arial"/>
                <w:noProof/>
                <w:szCs w:val="22"/>
              </w:rPr>
              <w:t>t</w:t>
            </w:r>
            <w:r w:rsidRPr="008618E1">
              <w:rPr>
                <w:rFonts w:ascii="Arial" w:hAnsi="Arial" w:cs="Arial"/>
                <w:noProof/>
                <w:szCs w:val="22"/>
              </w:rPr>
              <w:t xml:space="preserve">eam </w:t>
            </w:r>
          </w:p>
          <w:p w14:paraId="59EBC998" w14:textId="0F855703" w:rsidR="00C12B88" w:rsidRPr="008618E1" w:rsidRDefault="005F118A" w:rsidP="00C12B88">
            <w:pPr>
              <w:pStyle w:val="ListParagraph"/>
              <w:numPr>
                <w:ilvl w:val="0"/>
                <w:numId w:val="21"/>
              </w:numPr>
              <w:rPr>
                <w:rFonts w:ascii="Arial" w:hAnsi="Arial" w:cs="Arial"/>
                <w:noProof/>
                <w:szCs w:val="22"/>
              </w:rPr>
            </w:pPr>
            <w:r w:rsidRPr="008618E1">
              <w:rPr>
                <w:rFonts w:ascii="Arial" w:hAnsi="Arial" w:cs="Arial"/>
                <w:noProof/>
                <w:szCs w:val="22"/>
              </w:rPr>
              <w:t xml:space="preserve">Manage and recruit volunteers to support the work of the Collections Team/Museums Service </w:t>
            </w:r>
            <w:r w:rsidR="00C12B88" w:rsidRPr="008618E1">
              <w:rPr>
                <w:rFonts w:ascii="Arial" w:hAnsi="Arial" w:cs="Arial"/>
                <w:noProof/>
                <w:szCs w:val="22"/>
              </w:rPr>
              <w:t xml:space="preserve">Alarm / open and close the MRC as needed </w:t>
            </w:r>
          </w:p>
          <w:p w14:paraId="4344F1AE" w14:textId="740304B2" w:rsidR="005F118A" w:rsidRPr="008618E1" w:rsidRDefault="005F118A" w:rsidP="005F118A">
            <w:pPr>
              <w:pStyle w:val="ListParagraph"/>
              <w:numPr>
                <w:ilvl w:val="0"/>
                <w:numId w:val="21"/>
              </w:numPr>
              <w:rPr>
                <w:noProof/>
                <w:szCs w:val="22"/>
              </w:rPr>
            </w:pPr>
            <w:r w:rsidRPr="008618E1">
              <w:rPr>
                <w:rFonts w:ascii="Arial" w:hAnsi="Arial" w:cs="Arial"/>
                <w:noProof/>
                <w:szCs w:val="22"/>
              </w:rPr>
              <w:t>Track local expenditure, and support senior Service staff with their budget forecasting and management</w:t>
            </w:r>
          </w:p>
          <w:p w14:paraId="03261534" w14:textId="77777777" w:rsidR="00C12B88" w:rsidRPr="008618E1" w:rsidRDefault="00C12B88" w:rsidP="00C12B88">
            <w:pPr>
              <w:pStyle w:val="ListParagraph"/>
              <w:numPr>
                <w:ilvl w:val="0"/>
                <w:numId w:val="21"/>
              </w:numPr>
              <w:rPr>
                <w:rFonts w:ascii="Arial" w:hAnsi="Arial" w:cs="Arial"/>
              </w:rPr>
            </w:pPr>
            <w:r w:rsidRPr="008618E1">
              <w:rPr>
                <w:rFonts w:ascii="Arial" w:hAnsi="Arial" w:cs="Arial"/>
              </w:rPr>
              <w:t>Be on the weekend remote on call rota for the Oxfordshire Museum site</w:t>
            </w:r>
          </w:p>
          <w:p w14:paraId="26003CC8" w14:textId="69857869" w:rsidR="00C12B88" w:rsidRPr="008618E1" w:rsidRDefault="00C12B88" w:rsidP="00C12B88">
            <w:pPr>
              <w:pStyle w:val="ListParagraph"/>
              <w:numPr>
                <w:ilvl w:val="0"/>
                <w:numId w:val="21"/>
              </w:numPr>
              <w:rPr>
                <w:rFonts w:ascii="Arial" w:hAnsi="Arial" w:cs="Arial"/>
              </w:rPr>
            </w:pPr>
            <w:r w:rsidRPr="008618E1">
              <w:rPr>
                <w:rFonts w:ascii="Arial" w:hAnsi="Arial" w:cs="Arial"/>
              </w:rPr>
              <w:t>If required, act as second response to an intruder or other incident (a security company provide first line attendance in the event of an alarm activation)</w:t>
            </w:r>
          </w:p>
          <w:p w14:paraId="3C451638" w14:textId="77777777" w:rsidR="00B51C99" w:rsidRPr="008618E1" w:rsidRDefault="00B51C99" w:rsidP="00B51C99">
            <w:pPr>
              <w:pStyle w:val="ListParagraph"/>
              <w:rPr>
                <w:noProof/>
                <w:szCs w:val="22"/>
              </w:rPr>
            </w:pPr>
          </w:p>
          <w:p w14:paraId="60B1CFD6" w14:textId="2A8C3D5C" w:rsidR="00817A6E" w:rsidRPr="008618E1" w:rsidRDefault="00817A6E" w:rsidP="003E4F9D">
            <w:pPr>
              <w:rPr>
                <w:rFonts w:ascii="Arial" w:hAnsi="Arial" w:cs="Arial"/>
                <w:noProof/>
                <w:szCs w:val="22"/>
              </w:rPr>
            </w:pPr>
            <w:r w:rsidRPr="008618E1">
              <w:rPr>
                <w:rFonts w:ascii="Arial" w:hAnsi="Arial" w:cs="Arial"/>
                <w:noProof/>
                <w:szCs w:val="22"/>
              </w:rPr>
              <w:t>Collections:</w:t>
            </w:r>
          </w:p>
          <w:p w14:paraId="3AC7F2E8" w14:textId="1D2B932E" w:rsidR="00C12B88" w:rsidRPr="008618E1" w:rsidRDefault="00C12B88" w:rsidP="003E4F9D">
            <w:pPr>
              <w:pStyle w:val="ListParagraph"/>
              <w:numPr>
                <w:ilvl w:val="0"/>
                <w:numId w:val="21"/>
              </w:numPr>
              <w:rPr>
                <w:rFonts w:ascii="Arial" w:hAnsi="Arial" w:cs="Arial"/>
                <w:noProof/>
                <w:szCs w:val="22"/>
              </w:rPr>
            </w:pPr>
            <w:r w:rsidRPr="008618E1">
              <w:rPr>
                <w:rFonts w:ascii="Arial" w:hAnsi="Arial" w:cs="Arial"/>
                <w:noProof/>
                <w:szCs w:val="22"/>
              </w:rPr>
              <w:t>Undertake d</w:t>
            </w:r>
            <w:r w:rsidR="00817A6E" w:rsidRPr="008618E1">
              <w:rPr>
                <w:rFonts w:ascii="Arial" w:hAnsi="Arial" w:cs="Arial"/>
                <w:noProof/>
                <w:szCs w:val="22"/>
              </w:rPr>
              <w:t>ocumentation</w:t>
            </w:r>
            <w:r w:rsidRPr="008618E1">
              <w:rPr>
                <w:rFonts w:ascii="Arial" w:hAnsi="Arial" w:cs="Arial"/>
                <w:noProof/>
                <w:szCs w:val="22"/>
              </w:rPr>
              <w:t xml:space="preserve"> tasks including cataloguing </w:t>
            </w:r>
          </w:p>
          <w:p w14:paraId="15C02BB6" w14:textId="753656C0" w:rsidR="00817A6E" w:rsidRPr="008618E1" w:rsidRDefault="00423982" w:rsidP="003E4F9D">
            <w:pPr>
              <w:pStyle w:val="ListParagraph"/>
              <w:numPr>
                <w:ilvl w:val="0"/>
                <w:numId w:val="21"/>
              </w:numPr>
              <w:rPr>
                <w:rFonts w:ascii="Arial" w:hAnsi="Arial" w:cs="Arial"/>
                <w:noProof/>
                <w:szCs w:val="22"/>
              </w:rPr>
            </w:pPr>
            <w:r w:rsidRPr="008618E1">
              <w:rPr>
                <w:rFonts w:ascii="Arial" w:hAnsi="Arial" w:cs="Arial"/>
                <w:noProof/>
                <w:szCs w:val="22"/>
              </w:rPr>
              <w:t xml:space="preserve">Lead on the </w:t>
            </w:r>
            <w:r w:rsidR="00C12B88" w:rsidRPr="008618E1">
              <w:rPr>
                <w:rFonts w:ascii="Arial" w:hAnsi="Arial" w:cs="Arial"/>
                <w:noProof/>
                <w:szCs w:val="22"/>
              </w:rPr>
              <w:t>d</w:t>
            </w:r>
            <w:r w:rsidR="00817A6E" w:rsidRPr="008618E1">
              <w:rPr>
                <w:rFonts w:ascii="Arial" w:hAnsi="Arial" w:cs="Arial"/>
                <w:noProof/>
                <w:szCs w:val="22"/>
              </w:rPr>
              <w:t>igitisation</w:t>
            </w:r>
            <w:r w:rsidR="00C12B88" w:rsidRPr="008618E1">
              <w:rPr>
                <w:rFonts w:ascii="Arial" w:hAnsi="Arial" w:cs="Arial"/>
                <w:noProof/>
                <w:szCs w:val="22"/>
              </w:rPr>
              <w:t xml:space="preserve"> of the collections </w:t>
            </w:r>
            <w:r w:rsidR="00817A6E" w:rsidRPr="008618E1">
              <w:rPr>
                <w:rFonts w:ascii="Arial" w:hAnsi="Arial" w:cs="Arial"/>
                <w:noProof/>
                <w:szCs w:val="22"/>
              </w:rPr>
              <w:t xml:space="preserve"> </w:t>
            </w:r>
          </w:p>
          <w:p w14:paraId="5132CAEC" w14:textId="603F7F56" w:rsidR="001A68A2" w:rsidRPr="008618E1" w:rsidRDefault="00480706" w:rsidP="003E4F9D">
            <w:pPr>
              <w:pStyle w:val="ListParagraph"/>
              <w:numPr>
                <w:ilvl w:val="0"/>
                <w:numId w:val="21"/>
              </w:numPr>
              <w:rPr>
                <w:rFonts w:ascii="Arial" w:hAnsi="Arial" w:cs="Arial"/>
                <w:noProof/>
                <w:szCs w:val="22"/>
              </w:rPr>
            </w:pPr>
            <w:r w:rsidRPr="008618E1">
              <w:rPr>
                <w:rFonts w:ascii="Arial" w:hAnsi="Arial" w:cs="Arial"/>
                <w:noProof/>
                <w:szCs w:val="22"/>
              </w:rPr>
              <w:t xml:space="preserve">Function as the lead officer for </w:t>
            </w:r>
            <w:r w:rsidR="00C12B88" w:rsidRPr="008618E1">
              <w:rPr>
                <w:rFonts w:ascii="Arial" w:hAnsi="Arial" w:cs="Arial"/>
                <w:noProof/>
                <w:szCs w:val="22"/>
              </w:rPr>
              <w:t xml:space="preserve">the </w:t>
            </w:r>
            <w:r w:rsidR="005F118A" w:rsidRPr="008618E1">
              <w:rPr>
                <w:rFonts w:ascii="Arial" w:hAnsi="Arial" w:cs="Arial"/>
                <w:noProof/>
                <w:szCs w:val="22"/>
              </w:rPr>
              <w:t>s</w:t>
            </w:r>
            <w:r w:rsidR="00C12B88" w:rsidRPr="008618E1">
              <w:rPr>
                <w:rFonts w:ascii="Arial" w:hAnsi="Arial" w:cs="Arial"/>
                <w:noProof/>
                <w:szCs w:val="22"/>
              </w:rPr>
              <w:t>ervice</w:t>
            </w:r>
            <w:r w:rsidRPr="008618E1">
              <w:rPr>
                <w:rFonts w:ascii="Arial" w:hAnsi="Arial" w:cs="Arial"/>
                <w:noProof/>
                <w:szCs w:val="22"/>
              </w:rPr>
              <w:t>’s</w:t>
            </w:r>
            <w:r w:rsidR="00C12B88" w:rsidRPr="008618E1">
              <w:rPr>
                <w:rFonts w:ascii="Arial" w:hAnsi="Arial" w:cs="Arial"/>
                <w:noProof/>
                <w:szCs w:val="22"/>
              </w:rPr>
              <w:t xml:space="preserve"> C</w:t>
            </w:r>
            <w:r w:rsidR="005F118A" w:rsidRPr="008618E1">
              <w:rPr>
                <w:rFonts w:ascii="Arial" w:hAnsi="Arial" w:cs="Arial"/>
                <w:noProof/>
                <w:szCs w:val="22"/>
              </w:rPr>
              <w:t xml:space="preserve">ollections </w:t>
            </w:r>
            <w:r w:rsidR="00C12B88" w:rsidRPr="008618E1">
              <w:rPr>
                <w:rFonts w:ascii="Arial" w:hAnsi="Arial" w:cs="Arial"/>
                <w:noProof/>
                <w:szCs w:val="22"/>
              </w:rPr>
              <w:t>M</w:t>
            </w:r>
            <w:r w:rsidR="005F118A" w:rsidRPr="008618E1">
              <w:rPr>
                <w:rFonts w:ascii="Arial" w:hAnsi="Arial" w:cs="Arial"/>
                <w:noProof/>
                <w:szCs w:val="22"/>
              </w:rPr>
              <w:t xml:space="preserve">anagement </w:t>
            </w:r>
            <w:r w:rsidR="00C12B88" w:rsidRPr="008618E1">
              <w:rPr>
                <w:rFonts w:ascii="Arial" w:hAnsi="Arial" w:cs="Arial"/>
                <w:noProof/>
                <w:szCs w:val="22"/>
              </w:rPr>
              <w:t>S</w:t>
            </w:r>
            <w:r w:rsidR="005F118A" w:rsidRPr="008618E1">
              <w:rPr>
                <w:rFonts w:ascii="Arial" w:hAnsi="Arial" w:cs="Arial"/>
                <w:noProof/>
                <w:szCs w:val="22"/>
              </w:rPr>
              <w:t>ystem</w:t>
            </w:r>
            <w:r w:rsidRPr="008618E1">
              <w:rPr>
                <w:rFonts w:ascii="Arial" w:hAnsi="Arial" w:cs="Arial"/>
                <w:noProof/>
                <w:szCs w:val="22"/>
              </w:rPr>
              <w:t xml:space="preserve"> database</w:t>
            </w:r>
          </w:p>
          <w:p w14:paraId="10EC3398" w14:textId="1B91C525" w:rsidR="001A68A2" w:rsidRPr="008618E1" w:rsidRDefault="00480706" w:rsidP="003E4F9D">
            <w:pPr>
              <w:pStyle w:val="ListParagraph"/>
              <w:numPr>
                <w:ilvl w:val="0"/>
                <w:numId w:val="21"/>
              </w:numPr>
              <w:rPr>
                <w:rFonts w:ascii="Arial" w:hAnsi="Arial" w:cs="Arial"/>
                <w:noProof/>
                <w:szCs w:val="22"/>
              </w:rPr>
            </w:pPr>
            <w:r w:rsidRPr="008618E1">
              <w:rPr>
                <w:rFonts w:ascii="Arial" w:hAnsi="Arial" w:cs="Arial"/>
                <w:noProof/>
                <w:szCs w:val="22"/>
              </w:rPr>
              <w:t>Work with colleagues to deliver on collections agreements with partners</w:t>
            </w:r>
            <w:r w:rsidR="00817A6E" w:rsidRPr="008618E1">
              <w:rPr>
                <w:rFonts w:ascii="Arial" w:hAnsi="Arial" w:cs="Arial"/>
                <w:noProof/>
                <w:szCs w:val="22"/>
              </w:rPr>
              <w:t xml:space="preserve"> </w:t>
            </w:r>
          </w:p>
          <w:p w14:paraId="706A7662" w14:textId="1AE41613" w:rsidR="00F02386" w:rsidRPr="008618E1" w:rsidRDefault="00817A6E" w:rsidP="007C5837">
            <w:pPr>
              <w:pStyle w:val="ListParagraph"/>
              <w:numPr>
                <w:ilvl w:val="0"/>
                <w:numId w:val="21"/>
              </w:numPr>
              <w:rPr>
                <w:rFonts w:ascii="Arial" w:hAnsi="Arial" w:cs="Arial"/>
                <w:noProof/>
                <w:szCs w:val="22"/>
              </w:rPr>
            </w:pPr>
            <w:r w:rsidRPr="008618E1">
              <w:rPr>
                <w:rFonts w:ascii="Arial" w:hAnsi="Arial" w:cs="Arial"/>
                <w:noProof/>
                <w:szCs w:val="22"/>
              </w:rPr>
              <w:t xml:space="preserve">Attend Collections Group meetings </w:t>
            </w:r>
          </w:p>
          <w:p w14:paraId="46936125" w14:textId="77777777" w:rsidR="00F02386" w:rsidRDefault="00F02386" w:rsidP="00F02386">
            <w:pPr>
              <w:pStyle w:val="ListParagraph"/>
              <w:numPr>
                <w:ilvl w:val="0"/>
                <w:numId w:val="21"/>
              </w:numPr>
              <w:rPr>
                <w:rFonts w:ascii="Arial" w:hAnsi="Arial" w:cs="Arial"/>
                <w:noProof/>
                <w:szCs w:val="22"/>
              </w:rPr>
            </w:pPr>
            <w:r>
              <w:rPr>
                <w:rFonts w:ascii="Arial" w:hAnsi="Arial" w:cs="Arial"/>
                <w:noProof/>
                <w:szCs w:val="22"/>
              </w:rPr>
              <w:t>Support the service Accreditation return (every five years, next due 2028)</w:t>
            </w:r>
          </w:p>
          <w:p w14:paraId="16412662" w14:textId="2DB390AF" w:rsidR="007C5837" w:rsidRDefault="007C5837" w:rsidP="007C5837">
            <w:pPr>
              <w:pStyle w:val="ListParagraph"/>
              <w:numPr>
                <w:ilvl w:val="0"/>
                <w:numId w:val="21"/>
              </w:numPr>
              <w:rPr>
                <w:rFonts w:ascii="Arial" w:hAnsi="Arial" w:cs="Arial"/>
                <w:noProof/>
                <w:szCs w:val="22"/>
              </w:rPr>
            </w:pPr>
            <w:r>
              <w:rPr>
                <w:rFonts w:ascii="Arial" w:hAnsi="Arial" w:cs="Arial"/>
                <w:noProof/>
                <w:szCs w:val="22"/>
              </w:rPr>
              <w:t>Be r</w:t>
            </w:r>
            <w:r w:rsidRPr="00817A6E">
              <w:rPr>
                <w:rFonts w:ascii="Arial" w:hAnsi="Arial" w:cs="Arial"/>
                <w:noProof/>
                <w:szCs w:val="22"/>
              </w:rPr>
              <w:t xml:space="preserve">esponsible for collections processes such as disposal / acquisition </w:t>
            </w:r>
          </w:p>
          <w:p w14:paraId="00652D3B" w14:textId="6F3C97BD" w:rsidR="00767DB6" w:rsidRPr="00826DB5" w:rsidRDefault="00B51C99" w:rsidP="00826DB5">
            <w:pPr>
              <w:pStyle w:val="ListParagraph"/>
              <w:numPr>
                <w:ilvl w:val="0"/>
                <w:numId w:val="21"/>
              </w:numPr>
              <w:rPr>
                <w:rFonts w:ascii="Arial" w:hAnsi="Arial" w:cs="Arial"/>
                <w:noProof/>
                <w:szCs w:val="22"/>
              </w:rPr>
            </w:pPr>
            <w:r>
              <w:rPr>
                <w:rFonts w:ascii="Arial" w:hAnsi="Arial" w:cs="Arial"/>
                <w:noProof/>
                <w:szCs w:val="22"/>
              </w:rPr>
              <w:t>Undertake o</w:t>
            </w:r>
            <w:r w:rsidR="00767DB6">
              <w:rPr>
                <w:rFonts w:ascii="Arial" w:hAnsi="Arial" w:cs="Arial"/>
                <w:noProof/>
                <w:szCs w:val="22"/>
              </w:rPr>
              <w:t xml:space="preserve">bject handling / moves </w:t>
            </w:r>
            <w:r w:rsidR="00826DB5">
              <w:rPr>
                <w:rFonts w:ascii="Arial" w:hAnsi="Arial" w:cs="Arial"/>
                <w:noProof/>
                <w:szCs w:val="22"/>
              </w:rPr>
              <w:t>including to prepare for and i</w:t>
            </w:r>
            <w:r w:rsidR="00826DB5" w:rsidRPr="00F02386">
              <w:rPr>
                <w:rFonts w:ascii="Arial" w:hAnsi="Arial" w:cs="Arial"/>
                <w:noProof/>
                <w:szCs w:val="22"/>
              </w:rPr>
              <w:t xml:space="preserve">nstall exhibitions </w:t>
            </w:r>
          </w:p>
          <w:p w14:paraId="4726DBF5" w14:textId="35F022DA" w:rsidR="00B51C99" w:rsidRDefault="00B51C99" w:rsidP="00B51C99">
            <w:pPr>
              <w:pStyle w:val="ListParagraph"/>
              <w:numPr>
                <w:ilvl w:val="0"/>
                <w:numId w:val="21"/>
              </w:numPr>
              <w:rPr>
                <w:rFonts w:ascii="Arial" w:hAnsi="Arial" w:cs="Arial"/>
                <w:noProof/>
                <w:szCs w:val="22"/>
              </w:rPr>
            </w:pPr>
            <w:r w:rsidRPr="00B51C99">
              <w:rPr>
                <w:rFonts w:ascii="Arial" w:hAnsi="Arial" w:cs="Arial"/>
                <w:noProof/>
                <w:szCs w:val="22"/>
              </w:rPr>
              <w:t>Care for collections stored within Swalcliffe Barn</w:t>
            </w:r>
          </w:p>
          <w:p w14:paraId="20BEA0AF" w14:textId="0E62A4A4" w:rsidR="00423982" w:rsidRPr="00423982" w:rsidRDefault="00423982" w:rsidP="00423982">
            <w:pPr>
              <w:pStyle w:val="ListParagraph"/>
              <w:numPr>
                <w:ilvl w:val="0"/>
                <w:numId w:val="21"/>
              </w:numPr>
              <w:rPr>
                <w:rFonts w:ascii="Arial" w:hAnsi="Arial" w:cs="Arial"/>
                <w:noProof/>
                <w:szCs w:val="22"/>
              </w:rPr>
            </w:pPr>
            <w:r>
              <w:rPr>
                <w:rFonts w:ascii="Arial" w:hAnsi="Arial" w:cs="Arial"/>
                <w:noProof/>
                <w:szCs w:val="22"/>
              </w:rPr>
              <w:t>Support collections care/management/storage projects</w:t>
            </w:r>
          </w:p>
          <w:p w14:paraId="4516C6CC" w14:textId="53BD6BF6" w:rsidR="00767DB6" w:rsidRDefault="00767DB6" w:rsidP="00767DB6">
            <w:pPr>
              <w:pStyle w:val="ListParagraph"/>
              <w:rPr>
                <w:rFonts w:ascii="Arial" w:hAnsi="Arial" w:cs="Arial"/>
                <w:noProof/>
                <w:szCs w:val="22"/>
              </w:rPr>
            </w:pPr>
          </w:p>
          <w:p w14:paraId="77726C76" w14:textId="2327FA79" w:rsidR="00817A6E" w:rsidRPr="00817A6E" w:rsidRDefault="00817A6E" w:rsidP="00817A6E">
            <w:pPr>
              <w:rPr>
                <w:rFonts w:ascii="Arial" w:hAnsi="Arial" w:cs="Arial"/>
                <w:noProof/>
                <w:szCs w:val="22"/>
              </w:rPr>
            </w:pPr>
            <w:r>
              <w:rPr>
                <w:rFonts w:ascii="Arial" w:hAnsi="Arial" w:cs="Arial"/>
                <w:noProof/>
                <w:szCs w:val="22"/>
              </w:rPr>
              <w:t>Public access</w:t>
            </w:r>
            <w:r w:rsidR="00F02386">
              <w:rPr>
                <w:rFonts w:ascii="Arial" w:hAnsi="Arial" w:cs="Arial"/>
                <w:noProof/>
                <w:szCs w:val="22"/>
              </w:rPr>
              <w:t xml:space="preserve"> and partnerships</w:t>
            </w:r>
            <w:r>
              <w:rPr>
                <w:rFonts w:ascii="Arial" w:hAnsi="Arial" w:cs="Arial"/>
                <w:noProof/>
                <w:szCs w:val="22"/>
              </w:rPr>
              <w:t>:</w:t>
            </w:r>
          </w:p>
          <w:p w14:paraId="25FD722C" w14:textId="241CDCD8" w:rsidR="00F02386" w:rsidRDefault="00F02386" w:rsidP="00CD06D0">
            <w:pPr>
              <w:pStyle w:val="ListParagraph"/>
              <w:numPr>
                <w:ilvl w:val="0"/>
                <w:numId w:val="21"/>
              </w:numPr>
              <w:rPr>
                <w:rFonts w:ascii="Arial" w:hAnsi="Arial" w:cs="Arial"/>
                <w:noProof/>
                <w:szCs w:val="22"/>
              </w:rPr>
            </w:pPr>
            <w:r>
              <w:rPr>
                <w:rFonts w:ascii="Arial" w:hAnsi="Arial" w:cs="Arial"/>
                <w:noProof/>
                <w:szCs w:val="22"/>
              </w:rPr>
              <w:t>Develop and deliver p</w:t>
            </w:r>
            <w:r w:rsidR="00817A6E">
              <w:rPr>
                <w:rFonts w:ascii="Arial" w:hAnsi="Arial" w:cs="Arial"/>
                <w:noProof/>
                <w:szCs w:val="22"/>
              </w:rPr>
              <w:t>ublic engagement with the collections</w:t>
            </w:r>
            <w:r>
              <w:rPr>
                <w:rFonts w:ascii="Arial" w:hAnsi="Arial" w:cs="Arial"/>
                <w:noProof/>
                <w:szCs w:val="22"/>
              </w:rPr>
              <w:t xml:space="preserve"> including </w:t>
            </w:r>
            <w:r w:rsidR="007C5837">
              <w:rPr>
                <w:rFonts w:ascii="Arial" w:hAnsi="Arial" w:cs="Arial"/>
                <w:noProof/>
                <w:szCs w:val="22"/>
              </w:rPr>
              <w:t>but not limited to:</w:t>
            </w:r>
          </w:p>
          <w:p w14:paraId="44E5BC1C" w14:textId="0D4559E0" w:rsidR="00F02386" w:rsidRDefault="00B101F6" w:rsidP="00F02386">
            <w:pPr>
              <w:pStyle w:val="ListParagraph"/>
              <w:numPr>
                <w:ilvl w:val="0"/>
                <w:numId w:val="27"/>
              </w:numPr>
              <w:rPr>
                <w:rFonts w:ascii="Arial" w:hAnsi="Arial" w:cs="Arial"/>
                <w:noProof/>
                <w:szCs w:val="22"/>
              </w:rPr>
            </w:pPr>
            <w:r>
              <w:rPr>
                <w:rFonts w:ascii="Arial" w:hAnsi="Arial" w:cs="Arial"/>
                <w:noProof/>
                <w:szCs w:val="22"/>
              </w:rPr>
              <w:t>Display changes</w:t>
            </w:r>
          </w:p>
          <w:p w14:paraId="36917DDE" w14:textId="77777777" w:rsidR="00F02386" w:rsidRDefault="00F02386" w:rsidP="00F02386">
            <w:pPr>
              <w:pStyle w:val="ListParagraph"/>
              <w:numPr>
                <w:ilvl w:val="0"/>
                <w:numId w:val="27"/>
              </w:numPr>
              <w:rPr>
                <w:rFonts w:ascii="Arial" w:hAnsi="Arial" w:cs="Arial"/>
                <w:noProof/>
                <w:szCs w:val="22"/>
              </w:rPr>
            </w:pPr>
            <w:r>
              <w:rPr>
                <w:rFonts w:ascii="Arial" w:hAnsi="Arial" w:cs="Arial"/>
                <w:noProof/>
                <w:szCs w:val="22"/>
              </w:rPr>
              <w:t>O</w:t>
            </w:r>
            <w:r w:rsidR="00817A6E">
              <w:rPr>
                <w:rFonts w:ascii="Arial" w:hAnsi="Arial" w:cs="Arial"/>
                <w:noProof/>
                <w:szCs w:val="22"/>
              </w:rPr>
              <w:t>pen days</w:t>
            </w:r>
          </w:p>
          <w:p w14:paraId="4E42E85F" w14:textId="6E312803" w:rsidR="007C5837" w:rsidRPr="00B51C99" w:rsidRDefault="00F02386" w:rsidP="007C5837">
            <w:pPr>
              <w:pStyle w:val="ListParagraph"/>
              <w:numPr>
                <w:ilvl w:val="0"/>
                <w:numId w:val="27"/>
              </w:numPr>
              <w:rPr>
                <w:rFonts w:ascii="Arial" w:hAnsi="Arial" w:cs="Arial"/>
                <w:noProof/>
                <w:szCs w:val="22"/>
              </w:rPr>
            </w:pPr>
            <w:r w:rsidRPr="00B51C99">
              <w:rPr>
                <w:rFonts w:ascii="Arial" w:hAnsi="Arial" w:cs="Arial"/>
                <w:noProof/>
                <w:szCs w:val="22"/>
              </w:rPr>
              <w:t>T</w:t>
            </w:r>
            <w:r w:rsidR="00817A6E" w:rsidRPr="00B51C99">
              <w:rPr>
                <w:rFonts w:ascii="Arial" w:hAnsi="Arial" w:cs="Arial"/>
                <w:noProof/>
                <w:szCs w:val="22"/>
              </w:rPr>
              <w:t>ours</w:t>
            </w:r>
          </w:p>
          <w:p w14:paraId="06711CD5" w14:textId="5147DC4C" w:rsidR="00817A6E" w:rsidRPr="00B51C99" w:rsidRDefault="00F02386" w:rsidP="00F02386">
            <w:pPr>
              <w:pStyle w:val="ListParagraph"/>
              <w:numPr>
                <w:ilvl w:val="0"/>
                <w:numId w:val="27"/>
              </w:numPr>
              <w:rPr>
                <w:rFonts w:ascii="Arial" w:hAnsi="Arial" w:cs="Arial"/>
                <w:noProof/>
                <w:szCs w:val="22"/>
              </w:rPr>
            </w:pPr>
            <w:r w:rsidRPr="00B51C99">
              <w:rPr>
                <w:rFonts w:ascii="Arial" w:hAnsi="Arial" w:cs="Arial"/>
                <w:noProof/>
                <w:szCs w:val="22"/>
              </w:rPr>
              <w:t>D</w:t>
            </w:r>
            <w:r w:rsidR="00817A6E" w:rsidRPr="00B51C99">
              <w:rPr>
                <w:rFonts w:ascii="Arial" w:hAnsi="Arial" w:cs="Arial"/>
                <w:noProof/>
                <w:szCs w:val="22"/>
              </w:rPr>
              <w:t>igital</w:t>
            </w:r>
            <w:r w:rsidRPr="00B51C99">
              <w:rPr>
                <w:rFonts w:ascii="Arial" w:hAnsi="Arial" w:cs="Arial"/>
                <w:noProof/>
                <w:szCs w:val="22"/>
              </w:rPr>
              <w:t xml:space="preserve"> outputs </w:t>
            </w:r>
            <w:r w:rsidR="00817A6E" w:rsidRPr="00B51C99">
              <w:rPr>
                <w:rFonts w:ascii="Arial" w:hAnsi="Arial" w:cs="Arial"/>
                <w:noProof/>
                <w:szCs w:val="22"/>
              </w:rPr>
              <w:t xml:space="preserve"> </w:t>
            </w:r>
          </w:p>
          <w:p w14:paraId="709001D6" w14:textId="02510717" w:rsidR="00F02386" w:rsidRPr="00B51C99" w:rsidRDefault="00F02386" w:rsidP="00F02386">
            <w:pPr>
              <w:pStyle w:val="ListParagraph"/>
              <w:numPr>
                <w:ilvl w:val="0"/>
                <w:numId w:val="21"/>
              </w:numPr>
              <w:rPr>
                <w:rFonts w:ascii="Arial" w:hAnsi="Arial" w:cs="Arial"/>
                <w:noProof/>
                <w:szCs w:val="22"/>
              </w:rPr>
            </w:pPr>
            <w:r w:rsidRPr="00B51C99">
              <w:rPr>
                <w:rFonts w:ascii="Arial" w:hAnsi="Arial" w:cs="Arial"/>
                <w:noProof/>
                <w:szCs w:val="22"/>
              </w:rPr>
              <w:t xml:space="preserve">Support interpretative or audience focused projects </w:t>
            </w:r>
          </w:p>
          <w:p w14:paraId="6EC9377D" w14:textId="19CB3C75" w:rsidR="00826DB5" w:rsidRDefault="00826DB5" w:rsidP="00F02386">
            <w:pPr>
              <w:pStyle w:val="ListParagraph"/>
              <w:numPr>
                <w:ilvl w:val="0"/>
                <w:numId w:val="21"/>
              </w:numPr>
              <w:rPr>
                <w:rFonts w:ascii="Arial" w:hAnsi="Arial" w:cs="Arial"/>
                <w:noProof/>
                <w:szCs w:val="22"/>
              </w:rPr>
            </w:pPr>
            <w:r>
              <w:rPr>
                <w:rFonts w:ascii="Arial" w:hAnsi="Arial" w:cs="Arial"/>
                <w:noProof/>
                <w:szCs w:val="22"/>
              </w:rPr>
              <w:t xml:space="preserve">Manage key partnership relationships with Banbury Museum, Abingdon Museum and Museum of Oxford </w:t>
            </w:r>
          </w:p>
          <w:p w14:paraId="76892062" w14:textId="2F1C6130" w:rsidR="007C5837" w:rsidRPr="00B51C99" w:rsidRDefault="007C5837" w:rsidP="00F02386">
            <w:pPr>
              <w:pStyle w:val="ListParagraph"/>
              <w:numPr>
                <w:ilvl w:val="0"/>
                <w:numId w:val="21"/>
              </w:numPr>
              <w:rPr>
                <w:rFonts w:ascii="Arial" w:hAnsi="Arial" w:cs="Arial"/>
                <w:noProof/>
                <w:szCs w:val="22"/>
              </w:rPr>
            </w:pPr>
            <w:r w:rsidRPr="00B51C99">
              <w:rPr>
                <w:rFonts w:ascii="Arial" w:hAnsi="Arial" w:cs="Arial"/>
                <w:noProof/>
                <w:szCs w:val="22"/>
              </w:rPr>
              <w:t xml:space="preserve">Contribute to the service’s social media outputs </w:t>
            </w:r>
          </w:p>
          <w:p w14:paraId="5C6BB9B1" w14:textId="3204108C" w:rsidR="00817A6E" w:rsidRDefault="00F02386" w:rsidP="00CD06D0">
            <w:pPr>
              <w:pStyle w:val="ListParagraph"/>
              <w:numPr>
                <w:ilvl w:val="0"/>
                <w:numId w:val="21"/>
              </w:numPr>
              <w:rPr>
                <w:rFonts w:ascii="Arial" w:hAnsi="Arial" w:cs="Arial"/>
                <w:noProof/>
                <w:szCs w:val="22"/>
              </w:rPr>
            </w:pPr>
            <w:r>
              <w:rPr>
                <w:rFonts w:ascii="Arial" w:hAnsi="Arial" w:cs="Arial"/>
                <w:noProof/>
                <w:szCs w:val="22"/>
              </w:rPr>
              <w:t>Respond to e</w:t>
            </w:r>
            <w:r w:rsidR="00817A6E">
              <w:rPr>
                <w:rFonts w:ascii="Arial" w:hAnsi="Arial" w:cs="Arial"/>
                <w:noProof/>
                <w:szCs w:val="22"/>
              </w:rPr>
              <w:t>nquiries</w:t>
            </w:r>
            <w:r w:rsidR="00767DB6">
              <w:rPr>
                <w:rFonts w:ascii="Arial" w:hAnsi="Arial" w:cs="Arial"/>
                <w:noProof/>
                <w:szCs w:val="22"/>
              </w:rPr>
              <w:t xml:space="preserve">/ research requests </w:t>
            </w:r>
          </w:p>
          <w:p w14:paraId="07B3765D" w14:textId="1FAF0567" w:rsidR="0065462D" w:rsidRPr="00EB7CF9" w:rsidRDefault="0065462D" w:rsidP="00EB7CF9">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Default="00586503" w:rsidP="00114762">
      <w:pPr>
        <w:jc w:val="both"/>
        <w:rPr>
          <w:rFonts w:ascii="Arial" w:hAnsi="Arial" w:cs="Arial"/>
          <w:bCs/>
        </w:rPr>
      </w:pPr>
    </w:p>
    <w:tbl>
      <w:tblPr>
        <w:tblStyle w:val="TableGridLight"/>
        <w:tblW w:w="10344" w:type="dxa"/>
        <w:tblLook w:val="01E0" w:firstRow="1" w:lastRow="1" w:firstColumn="1" w:lastColumn="1" w:noHBand="0" w:noVBand="0"/>
      </w:tblPr>
      <w:tblGrid>
        <w:gridCol w:w="6232"/>
        <w:gridCol w:w="4112"/>
      </w:tblGrid>
      <w:tr w:rsidR="007A42F7" w:rsidRPr="009F0647" w14:paraId="49A0F65F" w14:textId="77777777" w:rsidTr="004B03F4">
        <w:trPr>
          <w:trHeight w:val="80"/>
        </w:trPr>
        <w:tc>
          <w:tcPr>
            <w:tcW w:w="6232" w:type="dxa"/>
          </w:tcPr>
          <w:p w14:paraId="16B6B457" w14:textId="25ED70DC" w:rsidR="007A42F7" w:rsidRPr="007A42F7" w:rsidRDefault="007A42F7" w:rsidP="007A42F7">
            <w:pPr>
              <w:pStyle w:val="Heading3"/>
              <w:rPr>
                <w:rFonts w:cs="Arial"/>
              </w:rPr>
            </w:pPr>
            <w:r w:rsidRPr="009F0647">
              <w:rPr>
                <w:rFonts w:cs="Arial"/>
              </w:rPr>
              <w:t>Essential Criteria</w:t>
            </w:r>
          </w:p>
        </w:tc>
        <w:tc>
          <w:tcPr>
            <w:tcW w:w="4112" w:type="dxa"/>
          </w:tcPr>
          <w:p w14:paraId="7A311FE1" w14:textId="77777777" w:rsidR="007A42F7" w:rsidRPr="009F0647" w:rsidRDefault="007A42F7" w:rsidP="004B03F4">
            <w:pPr>
              <w:pStyle w:val="Heading3"/>
            </w:pPr>
            <w:r w:rsidRPr="009F0647">
              <w:t>Assessed By:</w:t>
            </w:r>
          </w:p>
        </w:tc>
      </w:tr>
      <w:tr w:rsidR="007A42F7" w:rsidRPr="009F0647" w14:paraId="4D5EFF90" w14:textId="77777777" w:rsidTr="004B03F4">
        <w:tc>
          <w:tcPr>
            <w:tcW w:w="6232" w:type="dxa"/>
          </w:tcPr>
          <w:p w14:paraId="3F186943" w14:textId="77777777" w:rsidR="007A42F7" w:rsidRDefault="007A42F7" w:rsidP="004B03F4">
            <w:pPr>
              <w:rPr>
                <w:rFonts w:eastAsia="Calibri"/>
                <w:color w:val="000000" w:themeColor="text1"/>
              </w:rPr>
            </w:pPr>
          </w:p>
          <w:p w14:paraId="268B0582" w14:textId="4860895F" w:rsidR="007A42F7" w:rsidRPr="0038171E" w:rsidRDefault="007A42F7" w:rsidP="004B03F4">
            <w:pPr>
              <w:rPr>
                <w:rFonts w:eastAsia="Calibri"/>
                <w:color w:val="000000" w:themeColor="text1"/>
              </w:rPr>
            </w:pPr>
            <w:r w:rsidRPr="0038171E">
              <w:rPr>
                <w:rFonts w:eastAsia="Calibri"/>
                <w:color w:val="000000" w:themeColor="text1"/>
              </w:rPr>
              <w:t xml:space="preserve">Degree or equivalent in </w:t>
            </w:r>
            <w:r>
              <w:rPr>
                <w:rFonts w:eastAsia="Calibri"/>
                <w:color w:val="000000" w:themeColor="text1"/>
              </w:rPr>
              <w:t>history or art history</w:t>
            </w:r>
          </w:p>
          <w:p w14:paraId="3E5F21B8" w14:textId="77777777" w:rsidR="007A42F7" w:rsidRPr="0038171E" w:rsidRDefault="007A42F7" w:rsidP="004B03F4">
            <w:pPr>
              <w:rPr>
                <w:rFonts w:ascii="Arial" w:hAnsi="Arial" w:cs="Arial"/>
                <w:color w:val="000000" w:themeColor="text1"/>
                <w:szCs w:val="22"/>
              </w:rPr>
            </w:pPr>
          </w:p>
        </w:tc>
        <w:tc>
          <w:tcPr>
            <w:tcW w:w="4112" w:type="dxa"/>
          </w:tcPr>
          <w:p w14:paraId="629D7359" w14:textId="77777777" w:rsidR="007A42F7" w:rsidRPr="0038171E" w:rsidRDefault="007A42F7" w:rsidP="004B03F4">
            <w:pPr>
              <w:spacing w:before="120" w:after="120"/>
              <w:jc w:val="both"/>
              <w:rPr>
                <w:rFonts w:ascii="Arial" w:hAnsi="Arial" w:cs="Arial"/>
                <w:color w:val="000000" w:themeColor="text1"/>
                <w:szCs w:val="22"/>
              </w:rPr>
            </w:pPr>
            <w:r w:rsidRPr="0038171E">
              <w:rPr>
                <w:rFonts w:ascii="Arial" w:hAnsi="Arial" w:cs="Arial"/>
                <w:color w:val="000000" w:themeColor="text1"/>
                <w:szCs w:val="22"/>
              </w:rPr>
              <w:t>A/D</w:t>
            </w:r>
          </w:p>
        </w:tc>
      </w:tr>
      <w:tr w:rsidR="007A42F7" w:rsidRPr="009F0647" w14:paraId="35DCFCD8" w14:textId="77777777" w:rsidTr="004B03F4">
        <w:tc>
          <w:tcPr>
            <w:tcW w:w="6232" w:type="dxa"/>
          </w:tcPr>
          <w:p w14:paraId="507F162C" w14:textId="77777777" w:rsidR="007A42F7" w:rsidRDefault="007A42F7" w:rsidP="004B03F4">
            <w:pPr>
              <w:ind w:left="29"/>
              <w:rPr>
                <w:rFonts w:eastAsia="Calibri"/>
                <w:color w:val="000000" w:themeColor="text1"/>
              </w:rPr>
            </w:pPr>
          </w:p>
          <w:p w14:paraId="36826E2D" w14:textId="191094B7" w:rsidR="007A42F7" w:rsidRPr="0038171E" w:rsidRDefault="007A42F7" w:rsidP="004B03F4">
            <w:pPr>
              <w:ind w:left="29"/>
              <w:rPr>
                <w:color w:val="000000" w:themeColor="text1"/>
              </w:rPr>
            </w:pPr>
            <w:r w:rsidRPr="0038171E">
              <w:rPr>
                <w:rFonts w:eastAsia="Calibri"/>
                <w:color w:val="000000" w:themeColor="text1"/>
              </w:rPr>
              <w:t xml:space="preserve">Good working understanding of current sector best practise in collections work and </w:t>
            </w:r>
            <w:r w:rsidRPr="0038171E">
              <w:rPr>
                <w:color w:val="000000" w:themeColor="text1"/>
              </w:rPr>
              <w:t xml:space="preserve">knowledge of </w:t>
            </w:r>
            <w:r>
              <w:rPr>
                <w:color w:val="000000" w:themeColor="text1"/>
              </w:rPr>
              <w:t xml:space="preserve">social history </w:t>
            </w:r>
            <w:r w:rsidRPr="0038171E">
              <w:rPr>
                <w:color w:val="000000" w:themeColor="text1"/>
              </w:rPr>
              <w:t xml:space="preserve">collections in a museum content </w:t>
            </w:r>
          </w:p>
          <w:p w14:paraId="022D06F4" w14:textId="77777777" w:rsidR="007A42F7" w:rsidRPr="0038171E" w:rsidRDefault="007A42F7" w:rsidP="004B03F4">
            <w:pPr>
              <w:ind w:left="29"/>
              <w:rPr>
                <w:color w:val="000000" w:themeColor="text1"/>
              </w:rPr>
            </w:pPr>
          </w:p>
        </w:tc>
        <w:tc>
          <w:tcPr>
            <w:tcW w:w="4112" w:type="dxa"/>
          </w:tcPr>
          <w:p w14:paraId="30529EBE" w14:textId="77777777" w:rsidR="007A42F7" w:rsidRDefault="007A42F7" w:rsidP="004B03F4">
            <w:pPr>
              <w:spacing w:before="120" w:after="120"/>
              <w:jc w:val="both"/>
              <w:rPr>
                <w:rFonts w:ascii="Arial" w:hAnsi="Arial" w:cs="Arial"/>
                <w:color w:val="000000" w:themeColor="text1"/>
                <w:szCs w:val="22"/>
              </w:rPr>
            </w:pPr>
          </w:p>
          <w:p w14:paraId="14705E43" w14:textId="1C13A158" w:rsidR="007A42F7" w:rsidRPr="0038171E" w:rsidRDefault="007A42F7" w:rsidP="004B03F4">
            <w:pPr>
              <w:spacing w:before="120" w:after="120"/>
              <w:jc w:val="both"/>
              <w:rPr>
                <w:rFonts w:ascii="Arial" w:hAnsi="Arial" w:cs="Arial"/>
                <w:color w:val="000000" w:themeColor="text1"/>
                <w:szCs w:val="22"/>
              </w:rPr>
            </w:pPr>
            <w:r>
              <w:rPr>
                <w:rFonts w:ascii="Arial" w:hAnsi="Arial" w:cs="Arial"/>
                <w:color w:val="000000" w:themeColor="text1"/>
                <w:szCs w:val="22"/>
              </w:rPr>
              <w:t>A</w:t>
            </w:r>
            <w:r w:rsidR="00826DB5">
              <w:rPr>
                <w:rFonts w:ascii="Arial" w:hAnsi="Arial" w:cs="Arial"/>
                <w:color w:val="000000" w:themeColor="text1"/>
                <w:szCs w:val="22"/>
              </w:rPr>
              <w:t>/I</w:t>
            </w:r>
          </w:p>
        </w:tc>
      </w:tr>
      <w:tr w:rsidR="007A42F7" w:rsidRPr="009F0647" w14:paraId="2010BE4F" w14:textId="77777777" w:rsidTr="004B03F4">
        <w:tc>
          <w:tcPr>
            <w:tcW w:w="6232" w:type="dxa"/>
          </w:tcPr>
          <w:p w14:paraId="79DCC667" w14:textId="77777777" w:rsidR="007A42F7" w:rsidRPr="0038171E" w:rsidRDefault="007A42F7" w:rsidP="004B03F4">
            <w:pPr>
              <w:ind w:left="29"/>
              <w:rPr>
                <w:color w:val="000000" w:themeColor="text1"/>
              </w:rPr>
            </w:pPr>
          </w:p>
          <w:p w14:paraId="25B458C0" w14:textId="77777777" w:rsidR="007A42F7" w:rsidRPr="0038171E" w:rsidRDefault="007A42F7" w:rsidP="004B03F4">
            <w:pPr>
              <w:ind w:left="29"/>
              <w:rPr>
                <w:color w:val="000000" w:themeColor="text1"/>
              </w:rPr>
            </w:pPr>
            <w:r w:rsidRPr="0038171E">
              <w:rPr>
                <w:color w:val="000000" w:themeColor="text1"/>
              </w:rPr>
              <w:t>Strong line management skill and experience</w:t>
            </w:r>
          </w:p>
          <w:p w14:paraId="12BD96FE" w14:textId="77777777" w:rsidR="007A42F7" w:rsidRPr="0038171E" w:rsidRDefault="007A42F7" w:rsidP="004B03F4">
            <w:pPr>
              <w:ind w:left="29"/>
              <w:rPr>
                <w:color w:val="000000" w:themeColor="text1"/>
              </w:rPr>
            </w:pPr>
          </w:p>
        </w:tc>
        <w:tc>
          <w:tcPr>
            <w:tcW w:w="4112" w:type="dxa"/>
          </w:tcPr>
          <w:p w14:paraId="0E564E91" w14:textId="5065FF26" w:rsidR="00826DB5" w:rsidRPr="0038171E" w:rsidRDefault="00826DB5" w:rsidP="004B03F4">
            <w:pPr>
              <w:spacing w:before="120" w:after="120"/>
              <w:jc w:val="both"/>
              <w:rPr>
                <w:rFonts w:ascii="Arial" w:hAnsi="Arial" w:cs="Arial"/>
                <w:color w:val="000000" w:themeColor="text1"/>
                <w:szCs w:val="22"/>
              </w:rPr>
            </w:pPr>
            <w:r>
              <w:rPr>
                <w:rFonts w:ascii="Arial" w:hAnsi="Arial" w:cs="Arial"/>
                <w:color w:val="000000" w:themeColor="text1"/>
                <w:szCs w:val="22"/>
              </w:rPr>
              <w:t>A/I</w:t>
            </w:r>
          </w:p>
        </w:tc>
      </w:tr>
      <w:tr w:rsidR="007A42F7" w:rsidRPr="009F0647" w14:paraId="0747CE69" w14:textId="77777777" w:rsidTr="004B03F4">
        <w:tc>
          <w:tcPr>
            <w:tcW w:w="6232" w:type="dxa"/>
          </w:tcPr>
          <w:p w14:paraId="3D61A7ED" w14:textId="77777777" w:rsidR="007A42F7" w:rsidRPr="0038171E" w:rsidRDefault="007A42F7" w:rsidP="004B03F4">
            <w:pPr>
              <w:ind w:left="29"/>
              <w:rPr>
                <w:color w:val="000000" w:themeColor="text1"/>
              </w:rPr>
            </w:pPr>
          </w:p>
          <w:p w14:paraId="66741705" w14:textId="77777777" w:rsidR="007A42F7" w:rsidRPr="0038171E" w:rsidRDefault="007A42F7" w:rsidP="004B03F4">
            <w:pPr>
              <w:rPr>
                <w:color w:val="000000" w:themeColor="text1"/>
              </w:rPr>
            </w:pPr>
            <w:r w:rsidRPr="0038171E">
              <w:rPr>
                <w:color w:val="000000" w:themeColor="text1"/>
              </w:rPr>
              <w:t xml:space="preserve">Good practical skill in object handling and knowledge of conservation principles </w:t>
            </w:r>
          </w:p>
          <w:p w14:paraId="0EA4188D" w14:textId="77777777" w:rsidR="007A42F7" w:rsidRPr="0038171E" w:rsidRDefault="007A42F7" w:rsidP="004B03F4">
            <w:pPr>
              <w:rPr>
                <w:color w:val="000000" w:themeColor="text1"/>
              </w:rPr>
            </w:pPr>
          </w:p>
        </w:tc>
        <w:tc>
          <w:tcPr>
            <w:tcW w:w="4112" w:type="dxa"/>
          </w:tcPr>
          <w:p w14:paraId="484E84C1" w14:textId="31495965" w:rsidR="007A42F7" w:rsidRPr="0038171E" w:rsidRDefault="00826DB5" w:rsidP="004B03F4">
            <w:pPr>
              <w:spacing w:before="120" w:after="120"/>
              <w:jc w:val="both"/>
              <w:rPr>
                <w:rFonts w:ascii="Arial" w:hAnsi="Arial" w:cs="Arial"/>
                <w:color w:val="000000" w:themeColor="text1"/>
                <w:szCs w:val="22"/>
              </w:rPr>
            </w:pPr>
            <w:r>
              <w:rPr>
                <w:rFonts w:ascii="Arial" w:hAnsi="Arial" w:cs="Arial"/>
                <w:color w:val="000000" w:themeColor="text1"/>
                <w:szCs w:val="22"/>
              </w:rPr>
              <w:t>A/I</w:t>
            </w:r>
          </w:p>
        </w:tc>
      </w:tr>
      <w:tr w:rsidR="007A42F7" w:rsidRPr="009F0647" w14:paraId="5437A55A" w14:textId="77777777" w:rsidTr="004B03F4">
        <w:tc>
          <w:tcPr>
            <w:tcW w:w="6232" w:type="dxa"/>
          </w:tcPr>
          <w:p w14:paraId="68C65401" w14:textId="77777777" w:rsidR="007A42F7" w:rsidRPr="0038171E" w:rsidRDefault="007A42F7" w:rsidP="004B03F4">
            <w:pPr>
              <w:ind w:left="29"/>
              <w:rPr>
                <w:color w:val="000000" w:themeColor="text1"/>
              </w:rPr>
            </w:pPr>
          </w:p>
          <w:p w14:paraId="1B919D9B" w14:textId="77777777" w:rsidR="007A42F7" w:rsidRPr="0038171E" w:rsidRDefault="007A42F7" w:rsidP="004B03F4">
            <w:pPr>
              <w:ind w:left="29"/>
              <w:rPr>
                <w:color w:val="000000" w:themeColor="text1"/>
              </w:rPr>
            </w:pPr>
            <w:r w:rsidRPr="0038171E">
              <w:rPr>
                <w:color w:val="000000" w:themeColor="text1"/>
              </w:rPr>
              <w:t xml:space="preserve">Experience of using museum collections management systems and MS Office software </w:t>
            </w:r>
          </w:p>
          <w:p w14:paraId="3C5804B9" w14:textId="77777777" w:rsidR="007A42F7" w:rsidRPr="0038171E" w:rsidRDefault="007A42F7" w:rsidP="004B03F4">
            <w:pPr>
              <w:ind w:left="29"/>
              <w:rPr>
                <w:color w:val="000000" w:themeColor="text1"/>
              </w:rPr>
            </w:pPr>
          </w:p>
        </w:tc>
        <w:tc>
          <w:tcPr>
            <w:tcW w:w="4112" w:type="dxa"/>
          </w:tcPr>
          <w:p w14:paraId="17B9F6A4" w14:textId="6CA751ED" w:rsidR="007A42F7" w:rsidRPr="0038171E" w:rsidRDefault="00826DB5" w:rsidP="004B03F4">
            <w:pPr>
              <w:spacing w:before="120" w:after="120"/>
              <w:jc w:val="both"/>
              <w:rPr>
                <w:rFonts w:ascii="Arial" w:hAnsi="Arial" w:cs="Arial"/>
                <w:color w:val="000000" w:themeColor="text1"/>
                <w:szCs w:val="22"/>
              </w:rPr>
            </w:pPr>
            <w:r>
              <w:rPr>
                <w:rFonts w:ascii="Arial" w:hAnsi="Arial" w:cs="Arial"/>
                <w:color w:val="000000" w:themeColor="text1"/>
                <w:szCs w:val="22"/>
              </w:rPr>
              <w:t>A/D</w:t>
            </w:r>
          </w:p>
        </w:tc>
      </w:tr>
      <w:tr w:rsidR="007A42F7" w:rsidRPr="009F0647" w14:paraId="7F79807A" w14:textId="77777777" w:rsidTr="004B03F4">
        <w:tc>
          <w:tcPr>
            <w:tcW w:w="6232" w:type="dxa"/>
          </w:tcPr>
          <w:p w14:paraId="75CF5B3D" w14:textId="77777777" w:rsidR="007A42F7" w:rsidRDefault="007A42F7" w:rsidP="004B03F4">
            <w:pPr>
              <w:ind w:left="29"/>
              <w:rPr>
                <w:color w:val="000000" w:themeColor="text1"/>
              </w:rPr>
            </w:pPr>
          </w:p>
          <w:p w14:paraId="2EEC226E" w14:textId="77777777" w:rsidR="007A42F7" w:rsidRPr="0038171E" w:rsidRDefault="007A42F7" w:rsidP="004B03F4">
            <w:pPr>
              <w:ind w:left="29"/>
              <w:rPr>
                <w:color w:val="000000" w:themeColor="text1"/>
              </w:rPr>
            </w:pPr>
            <w:r w:rsidRPr="0038171E">
              <w:rPr>
                <w:color w:val="000000" w:themeColor="text1"/>
              </w:rPr>
              <w:t xml:space="preserve">Experience of developing innovative </w:t>
            </w:r>
            <w:r>
              <w:rPr>
                <w:color w:val="000000" w:themeColor="text1"/>
              </w:rPr>
              <w:t xml:space="preserve">and inclusive </w:t>
            </w:r>
            <w:r w:rsidRPr="0038171E">
              <w:rPr>
                <w:color w:val="000000" w:themeColor="text1"/>
              </w:rPr>
              <w:t>collections</w:t>
            </w:r>
            <w:r>
              <w:rPr>
                <w:color w:val="000000" w:themeColor="text1"/>
              </w:rPr>
              <w:t>-</w:t>
            </w:r>
            <w:r w:rsidRPr="0038171E">
              <w:rPr>
                <w:color w:val="000000" w:themeColor="text1"/>
              </w:rPr>
              <w:t xml:space="preserve">focused public programming </w:t>
            </w:r>
          </w:p>
          <w:p w14:paraId="33F1A5C3" w14:textId="77777777" w:rsidR="007A42F7" w:rsidRPr="0038171E" w:rsidRDefault="007A42F7" w:rsidP="004B03F4">
            <w:pPr>
              <w:ind w:left="29"/>
              <w:rPr>
                <w:color w:val="000000" w:themeColor="text1"/>
              </w:rPr>
            </w:pPr>
          </w:p>
        </w:tc>
        <w:tc>
          <w:tcPr>
            <w:tcW w:w="4112" w:type="dxa"/>
          </w:tcPr>
          <w:p w14:paraId="5870EE79" w14:textId="71A1C991" w:rsidR="007A42F7" w:rsidRPr="0038171E" w:rsidRDefault="007A42F7" w:rsidP="004B03F4">
            <w:pPr>
              <w:spacing w:before="120" w:after="120"/>
              <w:jc w:val="both"/>
              <w:rPr>
                <w:rFonts w:ascii="Arial" w:hAnsi="Arial" w:cs="Arial"/>
                <w:color w:val="000000" w:themeColor="text1"/>
                <w:szCs w:val="22"/>
              </w:rPr>
            </w:pPr>
            <w:r w:rsidRPr="0038171E">
              <w:rPr>
                <w:rFonts w:ascii="Arial" w:hAnsi="Arial" w:cs="Arial"/>
                <w:color w:val="000000" w:themeColor="text1"/>
                <w:szCs w:val="22"/>
              </w:rPr>
              <w:t>A/I/</w:t>
            </w:r>
            <w:r w:rsidR="00826DB5">
              <w:rPr>
                <w:rFonts w:ascii="Arial" w:hAnsi="Arial" w:cs="Arial"/>
                <w:color w:val="000000" w:themeColor="text1"/>
                <w:szCs w:val="22"/>
              </w:rPr>
              <w:t>P</w:t>
            </w:r>
          </w:p>
        </w:tc>
      </w:tr>
      <w:tr w:rsidR="007A42F7" w:rsidRPr="009F0647" w14:paraId="182E62D3" w14:textId="77777777" w:rsidTr="004B03F4">
        <w:tc>
          <w:tcPr>
            <w:tcW w:w="6232" w:type="dxa"/>
          </w:tcPr>
          <w:p w14:paraId="7342D76E" w14:textId="77777777" w:rsidR="007A42F7" w:rsidRDefault="007A42F7" w:rsidP="004B03F4">
            <w:pPr>
              <w:ind w:left="29"/>
              <w:rPr>
                <w:rFonts w:ascii="Arial" w:eastAsiaTheme="minorHAnsi" w:hAnsi="Arial" w:cs="Arial"/>
                <w:color w:val="000000" w:themeColor="text1"/>
                <w:szCs w:val="22"/>
              </w:rPr>
            </w:pPr>
          </w:p>
          <w:p w14:paraId="664F94C3" w14:textId="77777777" w:rsidR="007A42F7" w:rsidRPr="0038171E" w:rsidRDefault="007A42F7" w:rsidP="004B03F4">
            <w:pPr>
              <w:ind w:left="29"/>
              <w:rPr>
                <w:rFonts w:ascii="Arial" w:eastAsiaTheme="minorHAnsi" w:hAnsi="Arial" w:cs="Arial"/>
                <w:color w:val="000000" w:themeColor="text1"/>
                <w:szCs w:val="22"/>
              </w:rPr>
            </w:pPr>
            <w:r w:rsidRPr="0038171E">
              <w:rPr>
                <w:rFonts w:ascii="Arial" w:eastAsiaTheme="minorHAnsi" w:hAnsi="Arial" w:cs="Arial"/>
                <w:color w:val="000000" w:themeColor="text1"/>
                <w:szCs w:val="22"/>
              </w:rPr>
              <w:t xml:space="preserve">Self-motivated with excellent organisation, and </w:t>
            </w:r>
            <w:proofErr w:type="gramStart"/>
            <w:r w:rsidRPr="0038171E">
              <w:rPr>
                <w:rFonts w:ascii="Arial" w:eastAsiaTheme="minorHAnsi" w:hAnsi="Arial" w:cs="Arial"/>
                <w:color w:val="000000" w:themeColor="text1"/>
                <w:szCs w:val="22"/>
              </w:rPr>
              <w:t>decision making</w:t>
            </w:r>
            <w:proofErr w:type="gramEnd"/>
            <w:r w:rsidRPr="0038171E">
              <w:rPr>
                <w:rFonts w:ascii="Arial" w:eastAsiaTheme="minorHAnsi" w:hAnsi="Arial" w:cs="Arial"/>
                <w:color w:val="000000" w:themeColor="text1"/>
                <w:szCs w:val="22"/>
              </w:rPr>
              <w:t xml:space="preserve"> skills</w:t>
            </w:r>
          </w:p>
          <w:p w14:paraId="160AFC25" w14:textId="77777777" w:rsidR="007A42F7" w:rsidRPr="0038171E" w:rsidRDefault="007A42F7" w:rsidP="004B03F4">
            <w:pPr>
              <w:ind w:left="29"/>
              <w:rPr>
                <w:color w:val="000000" w:themeColor="text1"/>
              </w:rPr>
            </w:pPr>
          </w:p>
        </w:tc>
        <w:tc>
          <w:tcPr>
            <w:tcW w:w="4112" w:type="dxa"/>
          </w:tcPr>
          <w:p w14:paraId="3E77E238" w14:textId="77777777" w:rsidR="007A42F7" w:rsidRPr="0038171E" w:rsidRDefault="007A42F7" w:rsidP="004B03F4">
            <w:pPr>
              <w:spacing w:before="120" w:after="120"/>
              <w:jc w:val="both"/>
              <w:rPr>
                <w:rFonts w:ascii="Arial" w:hAnsi="Arial" w:cs="Arial"/>
                <w:color w:val="000000" w:themeColor="text1"/>
                <w:szCs w:val="22"/>
              </w:rPr>
            </w:pPr>
            <w:r w:rsidRPr="0038171E">
              <w:rPr>
                <w:rFonts w:ascii="Arial" w:hAnsi="Arial" w:cs="Arial"/>
                <w:color w:val="000000" w:themeColor="text1"/>
                <w:szCs w:val="22"/>
              </w:rPr>
              <w:t>A/I/T</w:t>
            </w:r>
          </w:p>
        </w:tc>
      </w:tr>
      <w:tr w:rsidR="007A42F7" w:rsidRPr="009F0647" w14:paraId="50B1393B" w14:textId="77777777" w:rsidTr="004B03F4">
        <w:tc>
          <w:tcPr>
            <w:tcW w:w="6232" w:type="dxa"/>
          </w:tcPr>
          <w:p w14:paraId="46920262" w14:textId="77777777" w:rsidR="007A42F7" w:rsidRDefault="007A42F7" w:rsidP="004B03F4">
            <w:pPr>
              <w:ind w:left="29"/>
              <w:rPr>
                <w:rFonts w:ascii="Arial" w:eastAsiaTheme="minorHAnsi" w:hAnsi="Arial" w:cs="Arial"/>
                <w:color w:val="000000" w:themeColor="text1"/>
                <w:szCs w:val="22"/>
              </w:rPr>
            </w:pPr>
          </w:p>
          <w:p w14:paraId="6A723940" w14:textId="77777777" w:rsidR="007A42F7" w:rsidRPr="0038171E" w:rsidRDefault="007A42F7" w:rsidP="004B03F4">
            <w:pPr>
              <w:ind w:left="29"/>
              <w:rPr>
                <w:rFonts w:ascii="Arial" w:eastAsiaTheme="minorHAnsi" w:hAnsi="Arial" w:cs="Arial"/>
                <w:color w:val="000000" w:themeColor="text1"/>
                <w:szCs w:val="22"/>
              </w:rPr>
            </w:pPr>
            <w:r w:rsidRPr="0038171E">
              <w:rPr>
                <w:rFonts w:ascii="Arial" w:eastAsiaTheme="minorHAnsi" w:hAnsi="Arial" w:cs="Arial"/>
                <w:color w:val="000000" w:themeColor="text1"/>
                <w:szCs w:val="22"/>
              </w:rPr>
              <w:t xml:space="preserve">Able to lead, develop and motivate an effective team as well as to work independently </w:t>
            </w:r>
          </w:p>
          <w:p w14:paraId="3B0B2950" w14:textId="77777777" w:rsidR="007A42F7" w:rsidRPr="0038171E" w:rsidRDefault="007A42F7" w:rsidP="004B03F4">
            <w:pPr>
              <w:ind w:left="29"/>
              <w:rPr>
                <w:rFonts w:ascii="Arial" w:hAnsi="Arial" w:cs="Arial"/>
                <w:color w:val="000000" w:themeColor="text1"/>
                <w:szCs w:val="22"/>
              </w:rPr>
            </w:pPr>
          </w:p>
        </w:tc>
        <w:tc>
          <w:tcPr>
            <w:tcW w:w="4112" w:type="dxa"/>
          </w:tcPr>
          <w:p w14:paraId="363CAC78" w14:textId="77777777" w:rsidR="007A42F7" w:rsidRPr="0038171E" w:rsidRDefault="007A42F7" w:rsidP="004B03F4">
            <w:pPr>
              <w:spacing w:before="120" w:after="120"/>
              <w:jc w:val="both"/>
              <w:rPr>
                <w:rFonts w:ascii="Arial" w:hAnsi="Arial" w:cs="Arial"/>
                <w:color w:val="000000" w:themeColor="text1"/>
                <w:szCs w:val="22"/>
              </w:rPr>
            </w:pPr>
            <w:r w:rsidRPr="0038171E">
              <w:rPr>
                <w:rFonts w:ascii="Arial" w:hAnsi="Arial" w:cs="Arial"/>
                <w:color w:val="000000" w:themeColor="text1"/>
                <w:szCs w:val="22"/>
              </w:rPr>
              <w:t>A/I</w:t>
            </w:r>
          </w:p>
        </w:tc>
      </w:tr>
      <w:tr w:rsidR="007A42F7" w:rsidRPr="009F0647" w14:paraId="1A765947" w14:textId="77777777" w:rsidTr="004B03F4">
        <w:trPr>
          <w:trHeight w:val="510"/>
        </w:trPr>
        <w:tc>
          <w:tcPr>
            <w:tcW w:w="6232" w:type="dxa"/>
          </w:tcPr>
          <w:p w14:paraId="39ED6AC5" w14:textId="77777777" w:rsidR="007A42F7" w:rsidRPr="0038171E" w:rsidRDefault="007A42F7" w:rsidP="004B03F4">
            <w:pPr>
              <w:spacing w:before="120" w:after="120"/>
              <w:jc w:val="both"/>
              <w:rPr>
                <w:color w:val="000000" w:themeColor="text1"/>
              </w:rPr>
            </w:pPr>
            <w:r w:rsidRPr="0038171E">
              <w:rPr>
                <w:rFonts w:ascii="Arial" w:hAnsi="Arial" w:cs="Arial"/>
                <w:color w:val="000000" w:themeColor="text1"/>
                <w:szCs w:val="22"/>
              </w:rPr>
              <w:t xml:space="preserve">Excellent communication skills and ability to deliver </w:t>
            </w:r>
            <w:r w:rsidRPr="0038171E">
              <w:rPr>
                <w:color w:val="000000" w:themeColor="text1"/>
              </w:rPr>
              <w:t>high standards of written/verbal presentation including talks/tours to a range of audience types</w:t>
            </w:r>
          </w:p>
        </w:tc>
        <w:tc>
          <w:tcPr>
            <w:tcW w:w="4112" w:type="dxa"/>
          </w:tcPr>
          <w:p w14:paraId="6425D557" w14:textId="77777777" w:rsidR="007A42F7" w:rsidRPr="0038171E" w:rsidRDefault="007A42F7" w:rsidP="004B03F4">
            <w:pPr>
              <w:spacing w:before="120" w:after="120"/>
              <w:jc w:val="both"/>
              <w:rPr>
                <w:rFonts w:ascii="Arial" w:hAnsi="Arial" w:cs="Arial"/>
                <w:color w:val="000000" w:themeColor="text1"/>
                <w:szCs w:val="22"/>
              </w:rPr>
            </w:pPr>
            <w:r w:rsidRPr="0038171E">
              <w:rPr>
                <w:rFonts w:ascii="Arial" w:hAnsi="Arial" w:cs="Arial"/>
                <w:color w:val="000000" w:themeColor="text1"/>
                <w:szCs w:val="22"/>
              </w:rPr>
              <w:t>A/I/P</w:t>
            </w:r>
          </w:p>
        </w:tc>
      </w:tr>
      <w:tr w:rsidR="007A42F7" w:rsidRPr="009F0647" w14:paraId="4DAB7246" w14:textId="77777777" w:rsidTr="004B03F4">
        <w:trPr>
          <w:trHeight w:val="510"/>
        </w:trPr>
        <w:tc>
          <w:tcPr>
            <w:tcW w:w="6232" w:type="dxa"/>
          </w:tcPr>
          <w:p w14:paraId="494BB722" w14:textId="77777777" w:rsidR="007A42F7" w:rsidRPr="0038171E" w:rsidRDefault="007A42F7" w:rsidP="004B03F4">
            <w:pPr>
              <w:rPr>
                <w:rFonts w:ascii="Arial" w:hAnsi="Arial" w:cs="Arial"/>
                <w:color w:val="000000" w:themeColor="text1"/>
                <w:szCs w:val="22"/>
              </w:rPr>
            </w:pPr>
          </w:p>
          <w:p w14:paraId="78BD71FC" w14:textId="77777777" w:rsidR="007A42F7" w:rsidRPr="0038171E" w:rsidRDefault="007A42F7" w:rsidP="004B03F4">
            <w:pPr>
              <w:rPr>
                <w:rFonts w:ascii="Arial" w:hAnsi="Arial" w:cs="Arial"/>
                <w:noProof/>
                <w:color w:val="000000" w:themeColor="text1"/>
                <w:sz w:val="20"/>
                <w:szCs w:val="20"/>
              </w:rPr>
            </w:pPr>
            <w:r w:rsidRPr="0038171E">
              <w:rPr>
                <w:color w:val="000000" w:themeColor="text1"/>
              </w:rPr>
              <w:t>Demonstrates our OCC values of ‘Daring to do it differently’ and ‘Always learning’</w:t>
            </w:r>
            <w:r w:rsidRPr="0038171E">
              <w:rPr>
                <w:rFonts w:ascii="Arial" w:hAnsi="Arial" w:cs="Arial"/>
                <w:noProof/>
                <w:color w:val="000000" w:themeColor="text1"/>
                <w:sz w:val="20"/>
                <w:szCs w:val="20"/>
              </w:rPr>
              <w:t xml:space="preserve"> </w:t>
            </w:r>
          </w:p>
          <w:p w14:paraId="16CABA33" w14:textId="77777777" w:rsidR="007A42F7" w:rsidRPr="0038171E" w:rsidRDefault="007A42F7" w:rsidP="004B03F4">
            <w:pPr>
              <w:rPr>
                <w:rFonts w:ascii="Arial" w:hAnsi="Arial" w:cs="Arial"/>
                <w:color w:val="000000" w:themeColor="text1"/>
                <w:szCs w:val="22"/>
              </w:rPr>
            </w:pPr>
          </w:p>
        </w:tc>
        <w:tc>
          <w:tcPr>
            <w:tcW w:w="4112" w:type="dxa"/>
          </w:tcPr>
          <w:p w14:paraId="7A55EE7F" w14:textId="77777777" w:rsidR="007A42F7" w:rsidRPr="0038171E" w:rsidRDefault="007A42F7" w:rsidP="004B03F4">
            <w:pPr>
              <w:spacing w:before="120" w:after="120"/>
              <w:jc w:val="both"/>
              <w:rPr>
                <w:rFonts w:ascii="Arial" w:hAnsi="Arial" w:cs="Arial"/>
                <w:color w:val="000000" w:themeColor="text1"/>
                <w:szCs w:val="22"/>
              </w:rPr>
            </w:pPr>
            <w:r w:rsidRPr="0038171E">
              <w:rPr>
                <w:rFonts w:ascii="Arial" w:hAnsi="Arial" w:cs="Arial"/>
                <w:color w:val="000000" w:themeColor="text1"/>
                <w:szCs w:val="22"/>
              </w:rPr>
              <w:t>A/I</w:t>
            </w:r>
          </w:p>
        </w:tc>
      </w:tr>
      <w:tr w:rsidR="007A42F7" w:rsidRPr="009F0647" w14:paraId="547E0E6F" w14:textId="77777777" w:rsidTr="004B03F4">
        <w:trPr>
          <w:trHeight w:val="70"/>
        </w:trPr>
        <w:tc>
          <w:tcPr>
            <w:tcW w:w="6232" w:type="dxa"/>
          </w:tcPr>
          <w:p w14:paraId="454BD640" w14:textId="77777777" w:rsidR="007A42F7" w:rsidRPr="0038171E" w:rsidRDefault="007A42F7" w:rsidP="004B03F4">
            <w:pPr>
              <w:pStyle w:val="Heading3"/>
              <w:rPr>
                <w:rFonts w:cs="Arial"/>
                <w:color w:val="000000" w:themeColor="text1"/>
              </w:rPr>
            </w:pPr>
            <w:r w:rsidRPr="0038171E">
              <w:rPr>
                <w:rFonts w:cs="Arial"/>
                <w:color w:val="000000" w:themeColor="text1"/>
              </w:rPr>
              <w:lastRenderedPageBreak/>
              <w:t>Desirable Criteria</w:t>
            </w:r>
          </w:p>
        </w:tc>
        <w:tc>
          <w:tcPr>
            <w:tcW w:w="4112" w:type="dxa"/>
          </w:tcPr>
          <w:p w14:paraId="09672188" w14:textId="77777777" w:rsidR="007A42F7" w:rsidRPr="0038171E" w:rsidRDefault="007A42F7" w:rsidP="004B03F4">
            <w:pPr>
              <w:pStyle w:val="Heading3"/>
              <w:rPr>
                <w:color w:val="000000" w:themeColor="text1"/>
              </w:rPr>
            </w:pPr>
            <w:r w:rsidRPr="0038171E">
              <w:rPr>
                <w:color w:val="000000" w:themeColor="text1"/>
              </w:rPr>
              <w:t>Assessed By:</w:t>
            </w:r>
          </w:p>
        </w:tc>
      </w:tr>
      <w:tr w:rsidR="007A42F7" w:rsidRPr="009F0647" w14:paraId="35E2EDD5" w14:textId="77777777" w:rsidTr="004B03F4">
        <w:tc>
          <w:tcPr>
            <w:tcW w:w="6232" w:type="dxa"/>
          </w:tcPr>
          <w:p w14:paraId="02FCA2BA" w14:textId="77777777" w:rsidR="007A42F7" w:rsidRPr="0038171E" w:rsidRDefault="007A42F7" w:rsidP="004B03F4">
            <w:pPr>
              <w:rPr>
                <w:rFonts w:eastAsia="Calibri"/>
                <w:color w:val="000000" w:themeColor="text1"/>
              </w:rPr>
            </w:pPr>
          </w:p>
          <w:p w14:paraId="30FB6A5A" w14:textId="40D0C844" w:rsidR="007A42F7" w:rsidRPr="0038171E" w:rsidRDefault="007A42F7" w:rsidP="004B03F4">
            <w:pPr>
              <w:rPr>
                <w:rFonts w:eastAsia="Calibri"/>
                <w:color w:val="000000" w:themeColor="text1"/>
              </w:rPr>
            </w:pPr>
            <w:r w:rsidRPr="0038171E">
              <w:rPr>
                <w:rFonts w:eastAsia="Calibri"/>
                <w:color w:val="000000" w:themeColor="text1"/>
              </w:rPr>
              <w:t xml:space="preserve">Knowledge of Oxfordshire’s </w:t>
            </w:r>
            <w:r>
              <w:rPr>
                <w:rFonts w:eastAsia="Calibri"/>
                <w:color w:val="000000" w:themeColor="text1"/>
              </w:rPr>
              <w:t>social history</w:t>
            </w:r>
          </w:p>
          <w:p w14:paraId="382BBBB1" w14:textId="77777777" w:rsidR="007A42F7" w:rsidRPr="0038171E" w:rsidRDefault="007A42F7" w:rsidP="004B03F4">
            <w:pPr>
              <w:rPr>
                <w:rFonts w:ascii="Arial" w:hAnsi="Arial" w:cs="Arial"/>
                <w:color w:val="000000" w:themeColor="text1"/>
                <w:szCs w:val="22"/>
              </w:rPr>
            </w:pPr>
          </w:p>
        </w:tc>
        <w:tc>
          <w:tcPr>
            <w:tcW w:w="4112" w:type="dxa"/>
          </w:tcPr>
          <w:p w14:paraId="00CC3A3D" w14:textId="77777777" w:rsidR="007A42F7" w:rsidRPr="0038171E" w:rsidRDefault="007A42F7" w:rsidP="004B03F4">
            <w:pPr>
              <w:spacing w:before="120" w:after="120"/>
              <w:jc w:val="both"/>
              <w:rPr>
                <w:rFonts w:ascii="Arial" w:hAnsi="Arial" w:cs="Arial"/>
                <w:color w:val="000000" w:themeColor="text1"/>
                <w:sz w:val="20"/>
                <w:szCs w:val="20"/>
              </w:rPr>
            </w:pPr>
            <w:r w:rsidRPr="0038171E">
              <w:rPr>
                <w:rFonts w:ascii="Arial" w:hAnsi="Arial" w:cs="Arial"/>
                <w:color w:val="000000" w:themeColor="text1"/>
                <w:sz w:val="20"/>
                <w:szCs w:val="20"/>
              </w:rPr>
              <w:t>A/I</w:t>
            </w:r>
          </w:p>
        </w:tc>
      </w:tr>
      <w:tr w:rsidR="007A42F7" w:rsidRPr="009F0647" w14:paraId="13BA07B6" w14:textId="77777777" w:rsidTr="004B03F4">
        <w:tc>
          <w:tcPr>
            <w:tcW w:w="6232" w:type="dxa"/>
          </w:tcPr>
          <w:p w14:paraId="5DCADCA5" w14:textId="77777777" w:rsidR="007A42F7" w:rsidRPr="0038171E" w:rsidRDefault="007A42F7" w:rsidP="004B03F4">
            <w:pPr>
              <w:spacing w:before="120" w:after="120"/>
              <w:jc w:val="both"/>
              <w:rPr>
                <w:rFonts w:ascii="Arial" w:hAnsi="Arial" w:cs="Arial"/>
                <w:color w:val="000000" w:themeColor="text1"/>
                <w:szCs w:val="22"/>
              </w:rPr>
            </w:pPr>
            <w:r w:rsidRPr="0038171E">
              <w:rPr>
                <w:rFonts w:ascii="Arial" w:hAnsi="Arial" w:cs="Arial"/>
                <w:color w:val="000000" w:themeColor="text1"/>
                <w:szCs w:val="22"/>
              </w:rPr>
              <w:t xml:space="preserve">Postgraduate qualification in museum studies or equivalent </w:t>
            </w:r>
          </w:p>
          <w:p w14:paraId="4A7F8A32" w14:textId="77777777" w:rsidR="007A42F7" w:rsidRPr="0038171E" w:rsidRDefault="007A42F7" w:rsidP="004B03F4">
            <w:pPr>
              <w:spacing w:before="120" w:after="120"/>
              <w:jc w:val="both"/>
              <w:rPr>
                <w:rFonts w:ascii="Arial" w:hAnsi="Arial" w:cs="Arial"/>
                <w:color w:val="000000" w:themeColor="text1"/>
                <w:szCs w:val="22"/>
              </w:rPr>
            </w:pPr>
          </w:p>
        </w:tc>
        <w:tc>
          <w:tcPr>
            <w:tcW w:w="4112" w:type="dxa"/>
          </w:tcPr>
          <w:p w14:paraId="19E57B5B" w14:textId="3BB1F07E" w:rsidR="007A42F7" w:rsidRPr="0038171E" w:rsidRDefault="007A42F7" w:rsidP="004B03F4">
            <w:pPr>
              <w:spacing w:before="120" w:after="120"/>
              <w:jc w:val="both"/>
              <w:rPr>
                <w:rFonts w:ascii="Arial" w:hAnsi="Arial" w:cs="Arial"/>
                <w:color w:val="000000" w:themeColor="text1"/>
                <w:sz w:val="20"/>
                <w:szCs w:val="20"/>
              </w:rPr>
            </w:pPr>
            <w:r w:rsidRPr="0038171E">
              <w:rPr>
                <w:rFonts w:ascii="Arial" w:hAnsi="Arial" w:cs="Arial"/>
                <w:color w:val="000000" w:themeColor="text1"/>
                <w:sz w:val="20"/>
                <w:szCs w:val="20"/>
              </w:rPr>
              <w:t>A/</w:t>
            </w:r>
            <w:r w:rsidR="00826DB5">
              <w:rPr>
                <w:rFonts w:ascii="Arial" w:hAnsi="Arial" w:cs="Arial"/>
                <w:color w:val="000000" w:themeColor="text1"/>
                <w:sz w:val="20"/>
                <w:szCs w:val="20"/>
              </w:rPr>
              <w:t>D</w:t>
            </w:r>
          </w:p>
        </w:tc>
      </w:tr>
    </w:tbl>
    <w:p w14:paraId="32413D4F" w14:textId="77777777" w:rsidR="007A42F7" w:rsidRDefault="007A42F7" w:rsidP="00114762">
      <w:pPr>
        <w:jc w:val="both"/>
        <w:rPr>
          <w:rFonts w:ascii="Arial" w:hAnsi="Arial" w:cs="Arial"/>
          <w:bCs/>
        </w:rPr>
      </w:pPr>
    </w:p>
    <w:p w14:paraId="3FBC9F80" w14:textId="77777777" w:rsidR="007A42F7" w:rsidRPr="009F0647" w:rsidRDefault="007A42F7" w:rsidP="00114762">
      <w:pPr>
        <w:jc w:val="both"/>
        <w:rPr>
          <w:rFonts w:ascii="Arial" w:hAnsi="Arial" w:cs="Arial"/>
          <w:bCs/>
        </w:rPr>
      </w:pPr>
    </w:p>
    <w:p w14:paraId="03C1D653" w14:textId="77777777" w:rsidR="00114762" w:rsidRDefault="00114762" w:rsidP="00114762">
      <w:pPr>
        <w:sectPr w:rsidR="00114762" w:rsidSect="007A42F7">
          <w:headerReference w:type="default" r:id="rId14"/>
          <w:footerReference w:type="even" r:id="rId15"/>
          <w:footerReference w:type="default" r:id="rId16"/>
          <w:headerReference w:type="first" r:id="rId17"/>
          <w:footerReference w:type="first" r:id="rId18"/>
          <w:type w:val="continuous"/>
          <w:pgSz w:w="11907" w:h="16840" w:code="9"/>
          <w:pgMar w:top="1263" w:right="851" w:bottom="1134" w:left="851" w:header="567" w:footer="316" w:gutter="0"/>
          <w:cols w:space="708"/>
          <w:titlePg/>
          <w:docGrid w:linePitch="360"/>
        </w:sectPr>
      </w:pPr>
      <w:bookmarkStart w:id="5" w:name="_Hlk516569688"/>
      <w:bookmarkStart w:id="6" w:name="_Hlk518653385"/>
      <w:bookmarkStart w:id="7" w:name="_Hlk518651683"/>
      <w:bookmarkEnd w:id="1"/>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DCBB58B" w:rsidR="007A55C8" w:rsidRPr="00114762" w:rsidRDefault="00871DDB" w:rsidP="00942771">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3515ABD0"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2A31E801" w:rsidR="007A55C8" w:rsidRPr="00114762" w:rsidRDefault="00871DDB"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6E740013"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531D682A" w:rsidR="007A55C8" w:rsidRPr="00114762" w:rsidRDefault="00871DDB"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X</w:t>
            </w:r>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0D6BD090"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1B717A54" w:rsidR="007A55C8" w:rsidRPr="00114762" w:rsidRDefault="007A55C8"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F079D64"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1EB4108E" w:rsidR="007A55C8" w:rsidRPr="00114762" w:rsidRDefault="007A55C8"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195292F6" w:rsidR="007A55C8" w:rsidRPr="00114762" w:rsidRDefault="00F25B75"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E780954" w:rsidR="007A55C8" w:rsidRPr="00114762" w:rsidRDefault="00DB2194" w:rsidP="007A55C8">
            <w:pPr>
              <w:pStyle w:val="Normaltable"/>
              <w:spacing w:before="0" w:after="0"/>
              <w:ind w:left="342" w:hanging="342"/>
              <w:jc w:val="center"/>
              <w:rPr>
                <w:rFonts w:ascii="Arial" w:hAnsi="Arial" w:cs="Arial"/>
                <w:sz w:val="36"/>
              </w:rPr>
            </w:pPr>
            <w:r>
              <w:rPr>
                <w:rFonts w:ascii="MS Gothic" w:eastAsia="MS Gothic" w:hAnsi="MS Gothic" w:cs="Arial" w:hint="eastAsia"/>
                <w:sz w:val="36"/>
              </w:rPr>
              <w:t>☐</w:t>
            </w:r>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1FC8F993" w:rsidR="007A55C8" w:rsidRPr="00114762" w:rsidRDefault="007A55C8"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73877338" w:rsidR="00DB2194" w:rsidRDefault="00DB2194" w:rsidP="00114762">
            <w:pPr>
              <w:rPr>
                <w:rFonts w:ascii="Arial" w:hAnsi="Arial" w:cs="Arial"/>
              </w:rPr>
            </w:pPr>
            <w:r>
              <w:rPr>
                <w:rFonts w:ascii="MS Gothic" w:eastAsia="MS Gothic" w:hAnsi="MS Gothic" w:cs="Arial" w:hint="eastAsia"/>
                <w:sz w:val="36"/>
              </w:rPr>
              <w:t>☐</w:t>
            </w:r>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439E4C7" w:rsidR="00114762" w:rsidRPr="009F0647" w:rsidRDefault="007A55C8" w:rsidP="007A55C8">
            <w:pPr>
              <w:pStyle w:val="Normaltable"/>
              <w:spacing w:before="0" w:after="0"/>
              <w:ind w:left="342" w:hanging="342"/>
              <w:rPr>
                <w:rFonts w:ascii="Arial" w:hAnsi="Arial" w:cs="Arial"/>
              </w:rPr>
            </w:pPr>
            <w:r>
              <w:rPr>
                <w:rFonts w:ascii="MS Gothic" w:eastAsia="MS Gothic" w:hAnsi="MS Gothic" w:cs="Arial" w:hint="eastAsia"/>
                <w:sz w:val="36"/>
              </w:rPr>
              <w:t>☐</w:t>
            </w:r>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6E62BA04" w:rsidR="00114762" w:rsidRPr="00114762" w:rsidRDefault="00871DDB" w:rsidP="007A55C8">
            <w:pPr>
              <w:pStyle w:val="Normaltable"/>
              <w:spacing w:before="0" w:after="0"/>
              <w:ind w:left="342" w:hanging="342"/>
              <w:rPr>
                <w:rFonts w:ascii="Arial" w:hAnsi="Arial" w:cs="Arial"/>
                <w:sz w:val="36"/>
              </w:rPr>
            </w:pPr>
            <w:r>
              <w:rPr>
                <w:rFonts w:ascii="Arial" w:hAnsi="Arial" w:cs="Arial"/>
                <w:sz w:val="36"/>
              </w:rPr>
              <w:t>X</w:t>
            </w:r>
          </w:p>
        </w:tc>
        <w:tc>
          <w:tcPr>
            <w:tcW w:w="2381" w:type="pct"/>
          </w:tcPr>
          <w:p w14:paraId="10C3926B" w14:textId="77777777" w:rsidR="00114762" w:rsidRDefault="00114762" w:rsidP="007A55C8">
            <w:pPr>
              <w:pStyle w:val="Normaltable"/>
              <w:rPr>
                <w:rFonts w:ascii="Arial" w:hAnsi="Arial" w:cs="Arial"/>
              </w:rPr>
            </w:pPr>
            <w:r w:rsidRPr="009F0647">
              <w:rPr>
                <w:rFonts w:ascii="Arial" w:hAnsi="Arial" w:cs="Arial"/>
              </w:rPr>
              <w:t>Driving HGV or LGV for work</w:t>
            </w:r>
          </w:p>
          <w:p w14:paraId="071FBAF4" w14:textId="35F6679A" w:rsidR="00E1354D" w:rsidRPr="009F0647" w:rsidRDefault="00E1354D" w:rsidP="007A55C8">
            <w:pPr>
              <w:pStyle w:val="Normaltable"/>
              <w:rPr>
                <w:rFonts w:ascii="Arial" w:hAnsi="Arial" w:cs="Arial"/>
              </w:rPr>
            </w:pPr>
            <w:r>
              <w:rPr>
                <w:rFonts w:ascii="Arial" w:hAnsi="Arial" w:cs="Arial"/>
              </w:rPr>
              <w:t>(small van)</w:t>
            </w:r>
          </w:p>
        </w:tc>
      </w:tr>
      <w:tr w:rsidR="00114762" w:rsidRPr="007A55C8" w14:paraId="1B4C084F" w14:textId="77777777" w:rsidTr="005021D7">
        <w:tc>
          <w:tcPr>
            <w:tcW w:w="278" w:type="pct"/>
          </w:tcPr>
          <w:p w14:paraId="14DFDEDE" w14:textId="43A401B1" w:rsidR="00114762" w:rsidRPr="00114762" w:rsidRDefault="007A42F7" w:rsidP="007A55C8">
            <w:pPr>
              <w:pStyle w:val="Normaltable"/>
              <w:spacing w:before="0" w:after="0"/>
              <w:ind w:left="342" w:hanging="342"/>
              <w:rPr>
                <w:rFonts w:ascii="Arial" w:hAnsi="Arial" w:cs="Arial"/>
                <w:sz w:val="36"/>
              </w:rPr>
            </w:pPr>
            <w:r>
              <w:rPr>
                <w:rFonts w:ascii="MS Gothic" w:eastAsia="MS Gothic" w:hAnsi="MS Gothic" w:cs="Arial" w:hint="eastAsia"/>
                <w:sz w:val="36"/>
              </w:rPr>
              <w:lastRenderedPageBreak/>
              <w:t>X</w:t>
            </w:r>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57B9FC46"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538D39FA"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0FBA5C40"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1B98A322"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54209464"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3AEFC38F"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1D60D940"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50CE9C12"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287FD997"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6545BFBF"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172762D1"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14D4BD0" w:rsidR="00114762" w:rsidRPr="00114762" w:rsidRDefault="00EA6D19"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D247717" w:rsidR="00114762" w:rsidRPr="00114762" w:rsidRDefault="007A42F7"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2B42ED95"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EED0923"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3CEF0888"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2A3D26A7"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2D86FC3F"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D61E8F5"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5854698B"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31B94F63"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4FB0BBA9"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2C00F677" w:rsidR="00114762" w:rsidRPr="00114762" w:rsidRDefault="00DA7303"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1738D70B" w:rsidR="00114762" w:rsidRPr="00114762" w:rsidRDefault="00114762"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43D17555" w:rsidR="00114762" w:rsidRPr="00114762" w:rsidRDefault="00871DDB" w:rsidP="007A55C8">
            <w:pPr>
              <w:pStyle w:val="Normaltable"/>
              <w:spacing w:before="0" w:after="0"/>
              <w:ind w:left="342" w:hanging="342"/>
              <w:rPr>
                <w:rFonts w:ascii="Arial" w:hAnsi="Arial" w:cs="Arial"/>
                <w:sz w:val="36"/>
              </w:rPr>
            </w:pPr>
            <w:r>
              <w:rPr>
                <w:rFonts w:ascii="MS Gothic" w:eastAsia="MS Gothic" w:hAnsi="MS Gothic" w:cs="Arial" w:hint="eastAsia"/>
                <w:sz w:val="36"/>
              </w:rPr>
              <w:t>X</w:t>
            </w:r>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73F4FF8C" w:rsidR="00607DED" w:rsidRPr="00607DED" w:rsidRDefault="00607DED" w:rsidP="00114762">
            <w:pPr>
              <w:rPr>
                <w:rFonts w:ascii="Arial" w:hAnsi="Arial" w:cs="Arial"/>
                <w:szCs w:val="22"/>
              </w:rPr>
            </w:pPr>
            <w:r w:rsidRPr="00607DED">
              <w:rPr>
                <w:rFonts w:ascii="Segoe UI Symbol" w:eastAsia="MS Gothic" w:hAnsi="Segoe UI Symbol" w:cs="Segoe UI Symbol"/>
                <w:szCs w:val="22"/>
              </w:rPr>
              <w:t>☐</w:t>
            </w:r>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0910AD0B" w:rsidR="00C57F20" w:rsidRPr="008113A7" w:rsidRDefault="00B101F6">
      <w:r>
        <w:rPr>
          <w:rFonts w:ascii="Arial" w:hAnsi="Arial" w:cs="Arial"/>
          <w:iCs/>
          <w:szCs w:val="22"/>
        </w:rPr>
        <w:t>April 2026</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C2B9A" w:rsidRDefault="00DA7303" w:rsidP="005C2B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C2B9A" w:rsidRDefault="005C2B9A" w:rsidP="005C2B9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5C2B9A" w:rsidRPr="0006028D" w:rsidRDefault="005C2B9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5C2B9A" w:rsidRDefault="00DA7303" w:rsidP="005C2B9A">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5C2B9A" w:rsidRDefault="005C2B9A" w:rsidP="005C2B9A">
    <w:pPr>
      <w:pStyle w:val="Footer"/>
      <w:ind w:firstLine="2880"/>
      <w:jc w:val="right"/>
      <w:rPr>
        <w:rFonts w:ascii="Arial" w:hAnsi="Arial" w:cs="Arial"/>
        <w:noProof/>
      </w:rPr>
    </w:pPr>
  </w:p>
  <w:p w14:paraId="04BBDEFD" w14:textId="77777777" w:rsidR="005C2B9A" w:rsidRDefault="005C2B9A" w:rsidP="005C2B9A">
    <w:pPr>
      <w:pStyle w:val="Footer"/>
      <w:ind w:firstLine="2880"/>
      <w:jc w:val="right"/>
      <w:rPr>
        <w:rFonts w:ascii="Arial" w:hAnsi="Arial" w:cs="Arial"/>
        <w:noProof/>
      </w:rPr>
    </w:pPr>
  </w:p>
  <w:p w14:paraId="0AC40F32" w14:textId="77777777" w:rsidR="005C2B9A" w:rsidRPr="00911D65" w:rsidRDefault="00DA7303" w:rsidP="005C2B9A">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410411773" name="Picture 41041177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C2B9A" w:rsidRDefault="00114762" w:rsidP="005C2B9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028919541" name="Picture 20289195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FC2"/>
    <w:multiLevelType w:val="hybridMultilevel"/>
    <w:tmpl w:val="169C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96BD7"/>
    <w:multiLevelType w:val="hybridMultilevel"/>
    <w:tmpl w:val="F438D3C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72BA0"/>
    <w:multiLevelType w:val="hybridMultilevel"/>
    <w:tmpl w:val="9FC25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F531897"/>
    <w:multiLevelType w:val="hybridMultilevel"/>
    <w:tmpl w:val="A07882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92E9D"/>
    <w:multiLevelType w:val="hybridMultilevel"/>
    <w:tmpl w:val="CE120EE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0" w15:restartNumberingAfterBreak="0">
    <w:nsid w:val="49063820"/>
    <w:multiLevelType w:val="hybridMultilevel"/>
    <w:tmpl w:val="3D66E7A6"/>
    <w:lvl w:ilvl="0" w:tplc="BED230DE">
      <w:start w:val="2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696D61"/>
    <w:multiLevelType w:val="hybridMultilevel"/>
    <w:tmpl w:val="AF5CE6C4"/>
    <w:lvl w:ilvl="0" w:tplc="8FA2B47C">
      <w:start w:val="1"/>
      <w:numFmt w:val="decimal"/>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30441"/>
    <w:multiLevelType w:val="hybridMultilevel"/>
    <w:tmpl w:val="6BAAF66C"/>
    <w:lvl w:ilvl="0" w:tplc="3092C9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C415B"/>
    <w:multiLevelType w:val="hybridMultilevel"/>
    <w:tmpl w:val="F31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2192846"/>
    <w:multiLevelType w:val="hybridMultilevel"/>
    <w:tmpl w:val="538C9C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43FD3"/>
    <w:multiLevelType w:val="hybridMultilevel"/>
    <w:tmpl w:val="A140BFA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D132F77"/>
    <w:multiLevelType w:val="hybridMultilevel"/>
    <w:tmpl w:val="3710DEE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CB21F7"/>
    <w:multiLevelType w:val="hybridMultilevel"/>
    <w:tmpl w:val="639A86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493F4D"/>
    <w:multiLevelType w:val="singleLevel"/>
    <w:tmpl w:val="514C5EDE"/>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ADE7466"/>
    <w:multiLevelType w:val="hybridMultilevel"/>
    <w:tmpl w:val="469099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9D6622"/>
    <w:multiLevelType w:val="hybridMultilevel"/>
    <w:tmpl w:val="D86C3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2265109">
    <w:abstractNumId w:val="5"/>
  </w:num>
  <w:num w:numId="2" w16cid:durableId="1602881769">
    <w:abstractNumId w:val="17"/>
  </w:num>
  <w:num w:numId="3" w16cid:durableId="1803570128">
    <w:abstractNumId w:val="11"/>
  </w:num>
  <w:num w:numId="4" w16cid:durableId="1245380962">
    <w:abstractNumId w:val="8"/>
  </w:num>
  <w:num w:numId="5" w16cid:durableId="1083912409">
    <w:abstractNumId w:val="18"/>
  </w:num>
  <w:num w:numId="6" w16cid:durableId="857504473">
    <w:abstractNumId w:val="14"/>
  </w:num>
  <w:num w:numId="7" w16cid:durableId="983780910">
    <w:abstractNumId w:val="3"/>
  </w:num>
  <w:num w:numId="8" w16cid:durableId="400838210">
    <w:abstractNumId w:val="23"/>
  </w:num>
  <w:num w:numId="9" w16cid:durableId="348945014">
    <w:abstractNumId w:val="7"/>
  </w:num>
  <w:num w:numId="10" w16cid:durableId="2066902450">
    <w:abstractNumId w:val="2"/>
  </w:num>
  <w:num w:numId="11" w16cid:durableId="709646242">
    <w:abstractNumId w:val="12"/>
  </w:num>
  <w:num w:numId="12" w16cid:durableId="799954039">
    <w:abstractNumId w:val="21"/>
  </w:num>
  <w:num w:numId="13" w16cid:durableId="321736785">
    <w:abstractNumId w:val="26"/>
  </w:num>
  <w:num w:numId="14" w16cid:durableId="701131046">
    <w:abstractNumId w:val="20"/>
  </w:num>
  <w:num w:numId="15" w16cid:durableId="1834712672">
    <w:abstractNumId w:val="19"/>
  </w:num>
  <w:num w:numId="16" w16cid:durableId="1938751666">
    <w:abstractNumId w:val="25"/>
  </w:num>
  <w:num w:numId="17" w16cid:durableId="1982802821">
    <w:abstractNumId w:val="1"/>
  </w:num>
  <w:num w:numId="18" w16cid:durableId="1590969018">
    <w:abstractNumId w:val="6"/>
  </w:num>
  <w:num w:numId="19" w16cid:durableId="439447751">
    <w:abstractNumId w:val="22"/>
  </w:num>
  <w:num w:numId="20" w16cid:durableId="435830113">
    <w:abstractNumId w:val="9"/>
  </w:num>
  <w:num w:numId="21" w16cid:durableId="1327438340">
    <w:abstractNumId w:val="15"/>
  </w:num>
  <w:num w:numId="22" w16cid:durableId="1441954686">
    <w:abstractNumId w:val="16"/>
  </w:num>
  <w:num w:numId="23" w16cid:durableId="276450886">
    <w:abstractNumId w:val="0"/>
  </w:num>
  <w:num w:numId="24" w16cid:durableId="1419474036">
    <w:abstractNumId w:val="4"/>
  </w:num>
  <w:num w:numId="25" w16cid:durableId="1316840471">
    <w:abstractNumId w:val="24"/>
  </w:num>
  <w:num w:numId="26" w16cid:durableId="512572198">
    <w:abstractNumId w:val="13"/>
  </w:num>
  <w:num w:numId="27" w16cid:durableId="927664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598C"/>
    <w:rsid w:val="0003205F"/>
    <w:rsid w:val="00042E71"/>
    <w:rsid w:val="00095994"/>
    <w:rsid w:val="00097495"/>
    <w:rsid w:val="000B4310"/>
    <w:rsid w:val="000C313F"/>
    <w:rsid w:val="00112331"/>
    <w:rsid w:val="00114762"/>
    <w:rsid w:val="00125ADA"/>
    <w:rsid w:val="00172A40"/>
    <w:rsid w:val="0019309F"/>
    <w:rsid w:val="00196033"/>
    <w:rsid w:val="001A3EA1"/>
    <w:rsid w:val="001A68A2"/>
    <w:rsid w:val="001E1A41"/>
    <w:rsid w:val="00215DEA"/>
    <w:rsid w:val="00277475"/>
    <w:rsid w:val="002B2D2A"/>
    <w:rsid w:val="00316B8B"/>
    <w:rsid w:val="00317F8E"/>
    <w:rsid w:val="00361C14"/>
    <w:rsid w:val="00372F01"/>
    <w:rsid w:val="003930B2"/>
    <w:rsid w:val="003B3011"/>
    <w:rsid w:val="003E4F9D"/>
    <w:rsid w:val="003E7E21"/>
    <w:rsid w:val="004000D7"/>
    <w:rsid w:val="00414119"/>
    <w:rsid w:val="00423982"/>
    <w:rsid w:val="00447A18"/>
    <w:rsid w:val="00450699"/>
    <w:rsid w:val="00460CB3"/>
    <w:rsid w:val="004619FB"/>
    <w:rsid w:val="0046450A"/>
    <w:rsid w:val="00480706"/>
    <w:rsid w:val="004946DF"/>
    <w:rsid w:val="004A4044"/>
    <w:rsid w:val="004D7CA2"/>
    <w:rsid w:val="004E77EF"/>
    <w:rsid w:val="00500311"/>
    <w:rsid w:val="005021D7"/>
    <w:rsid w:val="00504E43"/>
    <w:rsid w:val="005240B6"/>
    <w:rsid w:val="00526635"/>
    <w:rsid w:val="005538F8"/>
    <w:rsid w:val="00584DE3"/>
    <w:rsid w:val="00586503"/>
    <w:rsid w:val="00594139"/>
    <w:rsid w:val="005A55A0"/>
    <w:rsid w:val="005B3259"/>
    <w:rsid w:val="005C2B9A"/>
    <w:rsid w:val="005C5F02"/>
    <w:rsid w:val="005C6495"/>
    <w:rsid w:val="005E0DBE"/>
    <w:rsid w:val="005E7A01"/>
    <w:rsid w:val="005F118A"/>
    <w:rsid w:val="00607DED"/>
    <w:rsid w:val="00611788"/>
    <w:rsid w:val="006212E6"/>
    <w:rsid w:val="00625D49"/>
    <w:rsid w:val="00630669"/>
    <w:rsid w:val="0065462D"/>
    <w:rsid w:val="00675FDF"/>
    <w:rsid w:val="006B36F9"/>
    <w:rsid w:val="006B51E3"/>
    <w:rsid w:val="006C11BB"/>
    <w:rsid w:val="006C3EC9"/>
    <w:rsid w:val="006D674C"/>
    <w:rsid w:val="007004F3"/>
    <w:rsid w:val="00725B7B"/>
    <w:rsid w:val="00736470"/>
    <w:rsid w:val="00743EFE"/>
    <w:rsid w:val="00753FAE"/>
    <w:rsid w:val="007573B9"/>
    <w:rsid w:val="00760609"/>
    <w:rsid w:val="00767DB6"/>
    <w:rsid w:val="007802D3"/>
    <w:rsid w:val="007908F4"/>
    <w:rsid w:val="007A42F7"/>
    <w:rsid w:val="007A55C8"/>
    <w:rsid w:val="007A5ECF"/>
    <w:rsid w:val="007C5837"/>
    <w:rsid w:val="008113A7"/>
    <w:rsid w:val="00817372"/>
    <w:rsid w:val="00817A6E"/>
    <w:rsid w:val="00826DB5"/>
    <w:rsid w:val="008361E2"/>
    <w:rsid w:val="008474D1"/>
    <w:rsid w:val="008618E1"/>
    <w:rsid w:val="00863690"/>
    <w:rsid w:val="00871DDB"/>
    <w:rsid w:val="00873DE4"/>
    <w:rsid w:val="008802E7"/>
    <w:rsid w:val="00882210"/>
    <w:rsid w:val="00890DAE"/>
    <w:rsid w:val="008B105C"/>
    <w:rsid w:val="008C0294"/>
    <w:rsid w:val="008C335F"/>
    <w:rsid w:val="008C4E0B"/>
    <w:rsid w:val="008D59C2"/>
    <w:rsid w:val="008D738F"/>
    <w:rsid w:val="00914FCC"/>
    <w:rsid w:val="00925E8C"/>
    <w:rsid w:val="00942771"/>
    <w:rsid w:val="00966C4C"/>
    <w:rsid w:val="00980C0A"/>
    <w:rsid w:val="009A263E"/>
    <w:rsid w:val="009A3071"/>
    <w:rsid w:val="009A7FD0"/>
    <w:rsid w:val="009D43F7"/>
    <w:rsid w:val="009E3B80"/>
    <w:rsid w:val="00A22AE5"/>
    <w:rsid w:val="00A30690"/>
    <w:rsid w:val="00A405EF"/>
    <w:rsid w:val="00A43A8C"/>
    <w:rsid w:val="00A50C5D"/>
    <w:rsid w:val="00A6585C"/>
    <w:rsid w:val="00A827C9"/>
    <w:rsid w:val="00A9293D"/>
    <w:rsid w:val="00AA5BF3"/>
    <w:rsid w:val="00AD3168"/>
    <w:rsid w:val="00AD47F9"/>
    <w:rsid w:val="00B0457A"/>
    <w:rsid w:val="00B101F6"/>
    <w:rsid w:val="00B16B09"/>
    <w:rsid w:val="00B26A95"/>
    <w:rsid w:val="00B26C50"/>
    <w:rsid w:val="00B402F1"/>
    <w:rsid w:val="00B42D28"/>
    <w:rsid w:val="00B50963"/>
    <w:rsid w:val="00B51C99"/>
    <w:rsid w:val="00BA65A0"/>
    <w:rsid w:val="00BE3A8A"/>
    <w:rsid w:val="00C11BED"/>
    <w:rsid w:val="00C12B88"/>
    <w:rsid w:val="00C22EE6"/>
    <w:rsid w:val="00C57F20"/>
    <w:rsid w:val="00C7419E"/>
    <w:rsid w:val="00C7665B"/>
    <w:rsid w:val="00C83376"/>
    <w:rsid w:val="00CA1CE8"/>
    <w:rsid w:val="00CA2BAB"/>
    <w:rsid w:val="00CB40BC"/>
    <w:rsid w:val="00CB71DC"/>
    <w:rsid w:val="00CD6128"/>
    <w:rsid w:val="00CE44EB"/>
    <w:rsid w:val="00D00434"/>
    <w:rsid w:val="00D050A3"/>
    <w:rsid w:val="00D06544"/>
    <w:rsid w:val="00D20953"/>
    <w:rsid w:val="00D757B0"/>
    <w:rsid w:val="00D93D43"/>
    <w:rsid w:val="00DA7303"/>
    <w:rsid w:val="00DB2194"/>
    <w:rsid w:val="00DC7B9A"/>
    <w:rsid w:val="00DD3ED0"/>
    <w:rsid w:val="00DE3445"/>
    <w:rsid w:val="00DF3CC6"/>
    <w:rsid w:val="00E1354D"/>
    <w:rsid w:val="00E34F5F"/>
    <w:rsid w:val="00E602BD"/>
    <w:rsid w:val="00E709E9"/>
    <w:rsid w:val="00E86136"/>
    <w:rsid w:val="00EA6D19"/>
    <w:rsid w:val="00EB3DAE"/>
    <w:rsid w:val="00EB6F28"/>
    <w:rsid w:val="00EB7CF9"/>
    <w:rsid w:val="00EE76E6"/>
    <w:rsid w:val="00EF2B1F"/>
    <w:rsid w:val="00EF6D56"/>
    <w:rsid w:val="00F01386"/>
    <w:rsid w:val="00F02386"/>
    <w:rsid w:val="00F22BA3"/>
    <w:rsid w:val="00F25B75"/>
    <w:rsid w:val="00F40DF8"/>
    <w:rsid w:val="00F50B0D"/>
    <w:rsid w:val="00F634DA"/>
    <w:rsid w:val="00F745FE"/>
    <w:rsid w:val="00F96573"/>
    <w:rsid w:val="00FA0434"/>
    <w:rsid w:val="00FB021F"/>
    <w:rsid w:val="00FB4A5A"/>
    <w:rsid w:val="00FC7172"/>
    <w:rsid w:val="00FC71AD"/>
    <w:rsid w:val="00FD3A85"/>
    <w:rsid w:val="00FD412A"/>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6E39CC3"/>
  <w15:docId w15:val="{7D03EA37-5C81-47E3-B14D-CF708778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
    <w:name w:val="Body Text"/>
    <w:basedOn w:val="Normal"/>
    <w:link w:val="BodyTextChar"/>
    <w:rsid w:val="005C5F02"/>
    <w:rPr>
      <w:rFonts w:ascii="Verdana" w:hAnsi="Verdana"/>
      <w:sz w:val="24"/>
      <w:szCs w:val="20"/>
    </w:rPr>
  </w:style>
  <w:style w:type="character" w:customStyle="1" w:styleId="BodyTextChar">
    <w:name w:val="Body Text Char"/>
    <w:basedOn w:val="DefaultParagraphFont"/>
    <w:link w:val="BodyText"/>
    <w:rsid w:val="005C5F02"/>
    <w:rPr>
      <w:rFonts w:ascii="Verdana" w:eastAsia="Times New Roman" w:hAnsi="Verdana" w:cs="Times New Roman"/>
      <w:szCs w:val="20"/>
    </w:rPr>
  </w:style>
  <w:style w:type="paragraph" w:styleId="EndnoteText">
    <w:name w:val="endnote text"/>
    <w:basedOn w:val="Normal"/>
    <w:link w:val="EndnoteTextChar"/>
    <w:semiHidden/>
    <w:rsid w:val="005C5F02"/>
    <w:rPr>
      <w:rFonts w:ascii="Times" w:eastAsia="Times" w:hAnsi="Times"/>
      <w:sz w:val="20"/>
      <w:szCs w:val="20"/>
    </w:rPr>
  </w:style>
  <w:style w:type="character" w:customStyle="1" w:styleId="EndnoteTextChar">
    <w:name w:val="Endnote Text Char"/>
    <w:basedOn w:val="DefaultParagraphFont"/>
    <w:link w:val="EndnoteText"/>
    <w:semiHidden/>
    <w:rsid w:val="005C5F02"/>
    <w:rPr>
      <w:rFonts w:ascii="Times" w:eastAsia="Times" w:hAnsi="Times" w:cs="Times New Roman"/>
      <w:sz w:val="20"/>
      <w:szCs w:val="20"/>
    </w:rPr>
  </w:style>
  <w:style w:type="paragraph" w:styleId="Revision">
    <w:name w:val="Revision"/>
    <w:hidden/>
    <w:uiPriority w:val="99"/>
    <w:semiHidden/>
    <w:rsid w:val="006B36F9"/>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oxfordshire.gov.uk/work-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1390</Words>
  <Characters>8024</Characters>
  <Application>Microsoft Office Word</Application>
  <DocSecurity>0</DocSecurity>
  <Lines>334</Lines>
  <Paragraphs>247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Davey, Jemma - Oxfordshire County Council</cp:lastModifiedBy>
  <cp:revision>5</cp:revision>
  <dcterms:created xsi:type="dcterms:W3CDTF">2026-04-28T13:44:00Z</dcterms:created>
  <dcterms:modified xsi:type="dcterms:W3CDTF">2026-04-28T13:51:00Z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