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1B5E2B3" w14:textId="77777777" w:rsidR="00F2341C" w:rsidRDefault="00F2341C" w:rsidP="00B26C50">
            <w:pPr>
              <w:pStyle w:val="Heading2"/>
              <w:jc w:val="both"/>
              <w:rPr>
                <w:b w:val="0"/>
                <w:iCs/>
                <w:sz w:val="24"/>
                <w:szCs w:val="24"/>
              </w:rPr>
            </w:pPr>
            <w:r>
              <w:rPr>
                <w:b w:val="0"/>
                <w:iCs/>
                <w:sz w:val="24"/>
                <w:szCs w:val="24"/>
              </w:rPr>
              <w:t xml:space="preserve">Developer Contributions </w:t>
            </w:r>
          </w:p>
          <w:p w14:paraId="38CA6BD1" w14:textId="6F871063" w:rsidR="00114762" w:rsidRPr="00B26C50" w:rsidRDefault="00F2341C" w:rsidP="00B26C50">
            <w:pPr>
              <w:pStyle w:val="Heading2"/>
              <w:jc w:val="both"/>
              <w:rPr>
                <w:b w:val="0"/>
                <w:iCs/>
                <w:sz w:val="24"/>
                <w:szCs w:val="24"/>
              </w:rPr>
            </w:pPr>
            <w:r>
              <w:rPr>
                <w:b w:val="0"/>
                <w:iCs/>
                <w:sz w:val="24"/>
                <w:szCs w:val="24"/>
              </w:rPr>
              <w:t>Analysis &amp; Delivery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ACFCDDD" w:rsidR="00DD3ED0" w:rsidRDefault="00F2341C" w:rsidP="00DD3ED0">
            <w:pPr>
              <w:rPr>
                <w:rFonts w:ascii="Arial" w:hAnsi="Arial" w:cs="Arial"/>
              </w:rPr>
            </w:pPr>
            <w:r>
              <w:rPr>
                <w:rFonts w:ascii="Arial" w:hAnsi="Arial" w:cs="Arial"/>
              </w:rPr>
              <w:t>£</w:t>
            </w:r>
            <w:r w:rsidR="000876A4">
              <w:rPr>
                <w:rFonts w:ascii="Arial" w:hAnsi="Arial" w:cs="Arial"/>
              </w:rPr>
              <w:t>41,771 to £45,091</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FDEABFD" w:rsidR="00A405EF" w:rsidRPr="00471DAB" w:rsidRDefault="00F2341C" w:rsidP="00DD3ED0">
            <w:pPr>
              <w:rPr>
                <w:rFonts w:ascii="Arial" w:hAnsi="Arial" w:cs="Arial"/>
              </w:rPr>
            </w:pPr>
            <w:r>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73D773E" w:rsidR="00114762" w:rsidRPr="00F2341C" w:rsidRDefault="00F2341C" w:rsidP="00DD3ED0">
            <w:r w:rsidRPr="00F2341C">
              <w:rPr>
                <w:rFonts w:ascii="Arial" w:hAnsi="Arial" w:cs="Arial"/>
              </w:rPr>
              <w:t xml:space="preserve">37 hours per week </w:t>
            </w:r>
            <w:r w:rsidR="00114762" w:rsidRPr="00F2341C">
              <w:rPr>
                <w:rFonts w:ascii="Arial" w:hAnsi="Arial" w:cs="Arial"/>
              </w:rPr>
              <w:t xml:space="preserve">  </w:t>
            </w:r>
            <w:r w:rsidR="005C6495" w:rsidRPr="00F2341C">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3186475" w:rsidR="00114762" w:rsidRDefault="00F2341C" w:rsidP="00DD3ED0">
            <w:r>
              <w:t>Planning Operations</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9B6FE16" w:rsidR="005021D7" w:rsidRDefault="00F2341C" w:rsidP="00DD3ED0">
            <w:r>
              <w:t>Strategic Planning</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C2EECD4" w:rsidR="00F50B0D" w:rsidRPr="00F2341C" w:rsidRDefault="004A4044" w:rsidP="00DD3ED0">
            <w:pPr>
              <w:rPr>
                <w:rFonts w:ascii="Arial" w:hAnsi="Arial" w:cs="Arial"/>
              </w:rPr>
            </w:pPr>
            <w:r w:rsidRPr="00F2341C">
              <w:rPr>
                <w:rFonts w:ascii="Arial" w:hAnsi="Arial" w:cs="Arial"/>
              </w:rPr>
              <w:t>County Hall</w:t>
            </w:r>
            <w:r w:rsidR="008D59C2" w:rsidRPr="00F2341C">
              <w:rPr>
                <w:rFonts w:ascii="Arial" w:hAnsi="Arial" w:cs="Arial"/>
              </w:rPr>
              <w:t>, Oxford OX1 1ND</w:t>
            </w:r>
            <w:r w:rsidRPr="00F2341C">
              <w:rPr>
                <w:rFonts w:ascii="Arial" w:hAnsi="Arial" w:cs="Arial"/>
              </w:rPr>
              <w:t xml:space="preserve">. </w:t>
            </w:r>
          </w:p>
          <w:p w14:paraId="5C947BA8" w14:textId="77777777" w:rsidR="00F50B0D" w:rsidRPr="00F50B0D" w:rsidRDefault="00F50B0D" w:rsidP="00DD3ED0">
            <w:pPr>
              <w:rPr>
                <w:rFonts w:ascii="Arial" w:hAnsi="Arial" w:cs="Arial"/>
                <w:i/>
                <w:iCs/>
              </w:rPr>
            </w:pPr>
          </w:p>
          <w:p w14:paraId="05B30B03" w14:textId="7F404B31" w:rsidR="004A4044" w:rsidRPr="00F2341C" w:rsidRDefault="004A4044" w:rsidP="00DD3ED0">
            <w:pPr>
              <w:rPr>
                <w:rFonts w:ascii="Arial" w:hAnsi="Arial" w:cs="Arial"/>
              </w:rPr>
            </w:pPr>
            <w:r w:rsidRPr="00F2341C">
              <w:rPr>
                <w:rFonts w:ascii="Arial" w:hAnsi="Arial" w:cs="Arial"/>
              </w:rPr>
              <w:t>Please note we are actively looking at our ways of workin</w:t>
            </w:r>
            <w:r w:rsidR="00F50B0D" w:rsidRPr="00F2341C">
              <w:rPr>
                <w:rFonts w:ascii="Arial" w:hAnsi="Arial" w:cs="Arial"/>
              </w:rPr>
              <w:t xml:space="preserve">g </w:t>
            </w:r>
            <w:r w:rsidRPr="00F2341C">
              <w:rPr>
                <w:rFonts w:ascii="Arial" w:hAnsi="Arial" w:cs="Arial"/>
              </w:rPr>
              <w:t xml:space="preserve">using everything we have learnt and heard from our people about the organisational and personal benefits of </w:t>
            </w:r>
            <w:r w:rsidR="00F50B0D" w:rsidRPr="00F2341C">
              <w:rPr>
                <w:rFonts w:ascii="Arial" w:hAnsi="Arial" w:cs="Arial"/>
              </w:rPr>
              <w:t xml:space="preserve">agile </w:t>
            </w:r>
            <w:r w:rsidRPr="00F2341C">
              <w:rPr>
                <w:rFonts w:ascii="Arial" w:hAnsi="Arial" w:cs="Arial"/>
              </w:rPr>
              <w:t>working.  What you can absolutely expect from working at O</w:t>
            </w:r>
            <w:r w:rsidR="00F50B0D" w:rsidRPr="00F2341C">
              <w:rPr>
                <w:rFonts w:ascii="Arial" w:hAnsi="Arial" w:cs="Arial"/>
              </w:rPr>
              <w:t xml:space="preserve">xfordshire </w:t>
            </w:r>
            <w:r w:rsidRPr="00F2341C">
              <w:rPr>
                <w:rFonts w:ascii="Arial" w:hAnsi="Arial" w:cs="Arial"/>
              </w:rPr>
              <w:t>C</w:t>
            </w:r>
            <w:r w:rsidR="00F50B0D" w:rsidRPr="00F2341C">
              <w:rPr>
                <w:rFonts w:ascii="Arial" w:hAnsi="Arial" w:cs="Arial"/>
              </w:rPr>
              <w:t xml:space="preserve">ounty </w:t>
            </w:r>
            <w:r w:rsidRPr="00F2341C">
              <w:rPr>
                <w:rFonts w:ascii="Arial" w:hAnsi="Arial" w:cs="Arial"/>
              </w:rPr>
              <w:t>C</w:t>
            </w:r>
            <w:r w:rsidR="00F50B0D" w:rsidRPr="00F2341C">
              <w:rPr>
                <w:rFonts w:ascii="Arial" w:hAnsi="Arial" w:cs="Arial"/>
              </w:rPr>
              <w:t>ouncil (OCC)</w:t>
            </w:r>
            <w:r w:rsidRPr="00F2341C">
              <w:rPr>
                <w:rFonts w:ascii="Arial" w:hAnsi="Arial" w:cs="Arial"/>
              </w:rPr>
              <w:t xml:space="preserve"> is that you will have the </w:t>
            </w:r>
            <w:r w:rsidR="00F50B0D" w:rsidRPr="00F2341C">
              <w:rPr>
                <w:rFonts w:ascii="Arial" w:hAnsi="Arial" w:cs="Arial"/>
              </w:rPr>
              <w:t>support</w:t>
            </w:r>
            <w:r w:rsidRPr="00F2341C">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F2341C">
              <w:rPr>
                <w:rFonts w:ascii="Arial" w:hAnsi="Arial" w:cs="Arial"/>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D000648" w:rsidR="00DD3ED0" w:rsidRPr="009F0647" w:rsidRDefault="00F2341C" w:rsidP="00DD3ED0">
            <w:pPr>
              <w:rPr>
                <w:rFonts w:ascii="Arial" w:hAnsi="Arial" w:cs="Arial"/>
              </w:rPr>
            </w:pPr>
            <w:r>
              <w:rPr>
                <w:rFonts w:ascii="Arial" w:hAnsi="Arial" w:cs="Arial"/>
              </w:rPr>
              <w:t>No direct budget responsibility. However, there will be responsibility for co-ordinating the spend of developer funding</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38C2784" w:rsidR="00DD3ED0" w:rsidRPr="009F0647" w:rsidRDefault="00F2341C" w:rsidP="00DD3ED0">
            <w:pPr>
              <w:rPr>
                <w:rFonts w:ascii="Arial" w:hAnsi="Arial" w:cs="Arial"/>
              </w:rPr>
            </w:pPr>
            <w:r>
              <w:rPr>
                <w:rFonts w:ascii="Arial" w:hAnsi="Arial" w:cs="Arial"/>
              </w:rPr>
              <w:t>Planning Operations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583CB49" w:rsidR="00114762" w:rsidRPr="009F0647" w:rsidRDefault="00F2341C" w:rsidP="00DD3ED0">
            <w:pPr>
              <w:rPr>
                <w:rFonts w:ascii="Arial" w:hAnsi="Arial" w:cs="Arial"/>
              </w:rPr>
            </w:pPr>
            <w:r>
              <w:rPr>
                <w:rFonts w:ascii="Arial" w:hAnsi="Arial" w:cs="Arial"/>
              </w:rPr>
              <w:t>No staff responsibilities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740ADE2" w:rsidR="00E709E9" w:rsidRPr="009F0647" w:rsidRDefault="00F2341C"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85DEE1D" w14:textId="7A379857" w:rsidR="0065462D" w:rsidRPr="00D71E89" w:rsidRDefault="00D71E89" w:rsidP="00B0457A">
            <w:r>
              <w:t xml:space="preserve">The purpose of the role is to </w:t>
            </w:r>
            <w:r w:rsidR="00484A5F">
              <w:t>analysis historical developer contribution</w:t>
            </w:r>
            <w:r w:rsidR="00481DF7">
              <w:t>s</w:t>
            </w:r>
            <w:r w:rsidR="00484A5F">
              <w:t xml:space="preserve"> where there has been little or no change in the amount held for many years. The role will review the reason why the funds were secured and liaise with service areas to agree spend plans.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BE320F9" w14:textId="2AD583DB" w:rsidR="00B26C50" w:rsidRPr="00277475" w:rsidRDefault="00713BDC" w:rsidP="00277475">
            <w:pPr>
              <w:pStyle w:val="ListParagraph"/>
              <w:numPr>
                <w:ilvl w:val="0"/>
                <w:numId w:val="11"/>
              </w:numPr>
              <w:rPr>
                <w:rFonts w:ascii="Arial" w:hAnsi="Arial" w:cs="Arial"/>
              </w:rPr>
            </w:pPr>
            <w:r>
              <w:rPr>
                <w:rFonts w:ascii="Arial" w:hAnsi="Arial" w:cs="Arial"/>
              </w:rPr>
              <w:t>Analysis</w:t>
            </w:r>
            <w:r w:rsidR="006A49E1">
              <w:rPr>
                <w:rFonts w:ascii="Arial" w:hAnsi="Arial" w:cs="Arial"/>
              </w:rPr>
              <w:t xml:space="preserve"> of</w:t>
            </w:r>
            <w:r>
              <w:rPr>
                <w:rFonts w:ascii="Arial" w:hAnsi="Arial" w:cs="Arial"/>
              </w:rPr>
              <w:t xml:space="preserve"> </w:t>
            </w:r>
            <w:r w:rsidR="006A49E1">
              <w:rPr>
                <w:rFonts w:ascii="Arial" w:hAnsi="Arial" w:cs="Arial"/>
              </w:rPr>
              <w:t xml:space="preserve">historical </w:t>
            </w:r>
            <w:r>
              <w:rPr>
                <w:rFonts w:ascii="Arial" w:hAnsi="Arial" w:cs="Arial"/>
              </w:rPr>
              <w:t>developer</w:t>
            </w:r>
            <w:r w:rsidR="006A49E1">
              <w:rPr>
                <w:rFonts w:ascii="Arial" w:hAnsi="Arial" w:cs="Arial"/>
              </w:rPr>
              <w:t xml:space="preserve"> funds held to identify their purpose and flexibility of use.</w:t>
            </w:r>
          </w:p>
          <w:p w14:paraId="6F1F4FB8" w14:textId="5F4E7037" w:rsidR="006A49E1" w:rsidRDefault="006A49E1" w:rsidP="00277475">
            <w:pPr>
              <w:pStyle w:val="ListParagraph"/>
              <w:numPr>
                <w:ilvl w:val="0"/>
                <w:numId w:val="11"/>
              </w:numPr>
              <w:tabs>
                <w:tab w:val="num" w:pos="709"/>
              </w:tabs>
            </w:pPr>
            <w:r>
              <w:t xml:space="preserve">Liaison with service areas re spend plans for historical funding. </w:t>
            </w:r>
          </w:p>
          <w:p w14:paraId="5E946659" w14:textId="41DC2F9A" w:rsidR="00C57F20" w:rsidRDefault="006A49E1" w:rsidP="00277475">
            <w:pPr>
              <w:pStyle w:val="ListParagraph"/>
              <w:numPr>
                <w:ilvl w:val="0"/>
                <w:numId w:val="11"/>
              </w:numPr>
              <w:tabs>
                <w:tab w:val="num" w:pos="709"/>
              </w:tabs>
            </w:pPr>
            <w:r>
              <w:t>Work with finance, specifically capital finance and yearend close</w:t>
            </w:r>
            <w:r w:rsidR="00A82DC5">
              <w:t>-</w:t>
            </w:r>
            <w:r>
              <w:t>down teams to support decision making re use of historical funds identified.</w:t>
            </w:r>
          </w:p>
          <w:p w14:paraId="4E331CC3" w14:textId="2929D5C0" w:rsidR="00277475" w:rsidRDefault="006A49E1" w:rsidP="00630669">
            <w:pPr>
              <w:pStyle w:val="ListParagraph"/>
              <w:numPr>
                <w:ilvl w:val="0"/>
                <w:numId w:val="8"/>
              </w:numPr>
              <w:tabs>
                <w:tab w:val="num" w:pos="709"/>
              </w:tabs>
            </w:pPr>
            <w:r>
              <w:t xml:space="preserve">Support service areas with the development of business cases to spend </w:t>
            </w:r>
            <w:r w:rsidR="00A82DC5">
              <w:t>historical funds.</w:t>
            </w:r>
          </w:p>
          <w:p w14:paraId="3EA62259" w14:textId="7B7095A5" w:rsidR="00277475" w:rsidRDefault="00A82DC5" w:rsidP="00630669">
            <w:pPr>
              <w:pStyle w:val="ListParagraph"/>
              <w:numPr>
                <w:ilvl w:val="0"/>
                <w:numId w:val="8"/>
              </w:numPr>
              <w:tabs>
                <w:tab w:val="num" w:pos="709"/>
              </w:tabs>
            </w:pPr>
            <w:r>
              <w:t>Report on progress of spending funds and support KPI data provision.</w:t>
            </w: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A831EA">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4E84D99F" w:rsidR="00DA7303" w:rsidRPr="00925E8C" w:rsidRDefault="00A82DC5"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Experience of analysing complex financial data such as developer contributions</w:t>
            </w:r>
          </w:p>
        </w:tc>
        <w:tc>
          <w:tcPr>
            <w:tcW w:w="985" w:type="pct"/>
          </w:tcPr>
          <w:p w14:paraId="1C4D3E4A" w14:textId="5082407E" w:rsidR="00114762" w:rsidRPr="00925E8C" w:rsidRDefault="00114762" w:rsidP="007A55C8">
            <w:pPr>
              <w:spacing w:before="120" w:after="120"/>
              <w:jc w:val="both"/>
              <w:rPr>
                <w:rFonts w:ascii="Arial" w:hAnsi="Arial" w:cs="Arial"/>
                <w:szCs w:val="22"/>
              </w:rPr>
            </w:pPr>
          </w:p>
        </w:tc>
      </w:tr>
      <w:tr w:rsidR="00114762" w:rsidRPr="009F0647" w14:paraId="3F9D28AE" w14:textId="77777777" w:rsidTr="005021D7">
        <w:tc>
          <w:tcPr>
            <w:tcW w:w="4015" w:type="pct"/>
          </w:tcPr>
          <w:p w14:paraId="7F6E0554" w14:textId="4D332E79" w:rsidR="00114762" w:rsidRPr="00925E8C" w:rsidRDefault="00A82DC5" w:rsidP="00C927F1">
            <w:pPr>
              <w:spacing w:before="120" w:after="120"/>
              <w:jc w:val="both"/>
              <w:rPr>
                <w:rFonts w:ascii="Arial" w:hAnsi="Arial" w:cs="Arial"/>
                <w:szCs w:val="22"/>
              </w:rPr>
            </w:pPr>
            <w:r>
              <w:rPr>
                <w:rFonts w:ascii="Arial" w:hAnsi="Arial" w:cs="Arial"/>
                <w:szCs w:val="22"/>
              </w:rPr>
              <w:t>Ability to interpret legal documents</w:t>
            </w:r>
            <w:r w:rsidR="001C2087">
              <w:rPr>
                <w:rFonts w:ascii="Arial" w:hAnsi="Arial" w:cs="Arial"/>
                <w:szCs w:val="22"/>
              </w:rPr>
              <w:t xml:space="preserve"> and apply that to proposals for spend</w:t>
            </w:r>
          </w:p>
        </w:tc>
        <w:tc>
          <w:tcPr>
            <w:tcW w:w="985" w:type="pct"/>
          </w:tcPr>
          <w:p w14:paraId="3ACF592F" w14:textId="2FF0F399" w:rsidR="00114762" w:rsidRPr="00925E8C" w:rsidRDefault="00114762" w:rsidP="007A55C8">
            <w:pPr>
              <w:spacing w:before="120" w:after="120"/>
              <w:jc w:val="both"/>
              <w:rPr>
                <w:rFonts w:ascii="Arial" w:hAnsi="Arial" w:cs="Arial"/>
                <w:szCs w:val="22"/>
              </w:rPr>
            </w:pPr>
          </w:p>
        </w:tc>
      </w:tr>
      <w:tr w:rsidR="00A82DC5" w:rsidRPr="009F0647" w14:paraId="7D378A26" w14:textId="77777777" w:rsidTr="005021D7">
        <w:tc>
          <w:tcPr>
            <w:tcW w:w="4015" w:type="pct"/>
          </w:tcPr>
          <w:p w14:paraId="45EDFE5A" w14:textId="5056A022" w:rsidR="00A82DC5" w:rsidRDefault="00A82DC5" w:rsidP="00C927F1">
            <w:pPr>
              <w:spacing w:before="120" w:after="120"/>
              <w:jc w:val="both"/>
              <w:rPr>
                <w:rFonts w:ascii="Arial" w:hAnsi="Arial" w:cs="Arial"/>
                <w:szCs w:val="22"/>
              </w:rPr>
            </w:pPr>
            <w:r>
              <w:rPr>
                <w:rFonts w:ascii="Arial" w:hAnsi="Arial" w:cs="Arial"/>
                <w:szCs w:val="22"/>
              </w:rPr>
              <w:t>Attention to detail to enable accurate reporting</w:t>
            </w:r>
          </w:p>
        </w:tc>
        <w:tc>
          <w:tcPr>
            <w:tcW w:w="985" w:type="pct"/>
          </w:tcPr>
          <w:p w14:paraId="5643AC58" w14:textId="77777777" w:rsidR="00A82DC5" w:rsidRPr="00925E8C" w:rsidRDefault="00A82DC5" w:rsidP="007A55C8">
            <w:pPr>
              <w:spacing w:before="120" w:after="120"/>
              <w:jc w:val="both"/>
              <w:rPr>
                <w:rFonts w:ascii="Arial" w:hAnsi="Arial" w:cs="Arial"/>
                <w:szCs w:val="22"/>
              </w:rPr>
            </w:pP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562C7463" w:rsidR="00114762" w:rsidRPr="00112331" w:rsidRDefault="00A82DC5" w:rsidP="004D7CA2">
            <w:pPr>
              <w:autoSpaceDE w:val="0"/>
              <w:autoSpaceDN w:val="0"/>
              <w:adjustRightInd w:val="0"/>
              <w:spacing w:after="120"/>
              <w:jc w:val="both"/>
              <w:rPr>
                <w:rFonts w:ascii="Arial" w:hAnsi="Arial" w:cs="Arial"/>
                <w:szCs w:val="22"/>
                <w:lang w:eastAsia="en-GB"/>
              </w:rPr>
            </w:pPr>
            <w:r>
              <w:rPr>
                <w:rFonts w:ascii="Arial" w:hAnsi="Arial" w:cs="Arial"/>
                <w:szCs w:val="22"/>
                <w:lang w:eastAsia="en-GB"/>
              </w:rPr>
              <w:t>Ability to work with a range of stakeholders</w:t>
            </w:r>
          </w:p>
        </w:tc>
        <w:tc>
          <w:tcPr>
            <w:tcW w:w="985" w:type="pct"/>
          </w:tcPr>
          <w:p w14:paraId="739E4E27" w14:textId="1781C1D8" w:rsidR="00114762" w:rsidRPr="00925E8C" w:rsidRDefault="00114762"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4548D186" w:rsidR="008802E7" w:rsidRPr="00112331" w:rsidRDefault="00A82DC5"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Effective communication skills</w:t>
            </w:r>
            <w:r w:rsidR="00A75922">
              <w:rPr>
                <w:rFonts w:ascii="Arial" w:hAnsi="Arial" w:cs="Arial"/>
                <w:szCs w:val="22"/>
              </w:rPr>
              <w:t xml:space="preserve"> </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782CA7DC" w:rsidR="00114762" w:rsidRPr="00925E8C" w:rsidRDefault="00114762" w:rsidP="007A55C8">
            <w:pPr>
              <w:spacing w:before="120" w:after="120"/>
              <w:jc w:val="both"/>
              <w:rPr>
                <w:rFonts w:ascii="Arial" w:hAnsi="Arial" w:cs="Arial"/>
                <w:szCs w:val="22"/>
              </w:rPr>
            </w:pPr>
          </w:p>
        </w:tc>
      </w:tr>
      <w:tr w:rsidR="00114762" w:rsidRPr="009F0647" w14:paraId="5254FEB9" w14:textId="77777777" w:rsidTr="005021D7">
        <w:tc>
          <w:tcPr>
            <w:tcW w:w="4015" w:type="pct"/>
          </w:tcPr>
          <w:p w14:paraId="2633829B" w14:textId="69D75B93" w:rsidR="00114762" w:rsidRPr="00112331" w:rsidRDefault="00A75922" w:rsidP="008802E7">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writing or reviewing business cases or funding requests</w:t>
            </w:r>
          </w:p>
        </w:tc>
        <w:tc>
          <w:tcPr>
            <w:tcW w:w="985" w:type="pct"/>
          </w:tcPr>
          <w:p w14:paraId="21263892" w14:textId="36BCFDA2" w:rsidR="00114762" w:rsidRPr="00925E8C" w:rsidRDefault="00114762" w:rsidP="007A55C8">
            <w:pPr>
              <w:spacing w:before="120" w:after="120"/>
              <w:jc w:val="both"/>
              <w:rPr>
                <w:rFonts w:ascii="Arial" w:hAnsi="Arial" w:cs="Arial"/>
                <w:szCs w:val="22"/>
              </w:rPr>
            </w:pPr>
          </w:p>
        </w:tc>
      </w:tr>
      <w:tr w:rsidR="00EF6D56" w:rsidRPr="009F0647" w14:paraId="7F3FEDD2" w14:textId="77777777" w:rsidTr="005021D7">
        <w:trPr>
          <w:trHeight w:val="70"/>
        </w:trPr>
        <w:tc>
          <w:tcPr>
            <w:tcW w:w="4015" w:type="pct"/>
          </w:tcPr>
          <w:p w14:paraId="61A3F7B9" w14:textId="788901F3" w:rsidR="00EF6D56" w:rsidRPr="00112331" w:rsidRDefault="001C2087" w:rsidP="00C927F1">
            <w:pPr>
              <w:pStyle w:val="Heading3"/>
              <w:rPr>
                <w:rFonts w:cs="Arial"/>
                <w:b w:val="0"/>
                <w:bCs w:val="0"/>
                <w:sz w:val="22"/>
                <w:szCs w:val="22"/>
              </w:rPr>
            </w:pPr>
            <w:r>
              <w:rPr>
                <w:rFonts w:cs="Arial"/>
                <w:b w:val="0"/>
                <w:bCs w:val="0"/>
                <w:sz w:val="22"/>
                <w:szCs w:val="22"/>
              </w:rPr>
              <w:lastRenderedPageBreak/>
              <w:t>Ability to explain complex data in a simplified form</w:t>
            </w:r>
          </w:p>
        </w:tc>
        <w:tc>
          <w:tcPr>
            <w:tcW w:w="985" w:type="pct"/>
          </w:tcPr>
          <w:p w14:paraId="6A6351A4" w14:textId="1FCCB9C3" w:rsidR="00EF6D56" w:rsidRPr="009F0647" w:rsidRDefault="00EF6D56" w:rsidP="00A405EF">
            <w:pPr>
              <w:pStyle w:val="Heading3"/>
            </w:pPr>
          </w:p>
        </w:tc>
      </w:tr>
      <w:tr w:rsidR="001C2087" w:rsidRPr="009F0647" w14:paraId="336060F5" w14:textId="77777777" w:rsidTr="005021D7">
        <w:trPr>
          <w:trHeight w:val="70"/>
        </w:trPr>
        <w:tc>
          <w:tcPr>
            <w:tcW w:w="4015" w:type="pct"/>
          </w:tcPr>
          <w:p w14:paraId="43129C9F" w14:textId="426B995F" w:rsidR="001C2087" w:rsidRPr="00112331" w:rsidRDefault="001C2087" w:rsidP="00C927F1">
            <w:pPr>
              <w:pStyle w:val="Heading3"/>
              <w:rPr>
                <w:rFonts w:cs="Arial"/>
                <w:b w:val="0"/>
                <w:bCs w:val="0"/>
                <w:sz w:val="22"/>
                <w:szCs w:val="22"/>
              </w:rPr>
            </w:pPr>
            <w:r>
              <w:rPr>
                <w:rFonts w:cs="Arial"/>
                <w:b w:val="0"/>
                <w:bCs w:val="0"/>
                <w:sz w:val="22"/>
                <w:szCs w:val="22"/>
              </w:rPr>
              <w:t>Awareness of the governance surrounding developer contributions and the ability to ensure good governance is maintained.</w:t>
            </w:r>
          </w:p>
        </w:tc>
        <w:tc>
          <w:tcPr>
            <w:tcW w:w="985" w:type="pct"/>
          </w:tcPr>
          <w:p w14:paraId="3C0F55EE" w14:textId="77777777" w:rsidR="001C2087" w:rsidRPr="009F0647" w:rsidRDefault="001C2087" w:rsidP="00A405EF">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1E2DC89A" w:rsidR="00114762" w:rsidRPr="00112331" w:rsidRDefault="001C2087" w:rsidP="00C927F1">
            <w:pPr>
              <w:spacing w:before="120" w:after="120"/>
              <w:jc w:val="both"/>
              <w:rPr>
                <w:rFonts w:ascii="Arial" w:hAnsi="Arial" w:cs="Arial"/>
                <w:szCs w:val="22"/>
              </w:rPr>
            </w:pPr>
            <w:r>
              <w:rPr>
                <w:rFonts w:ascii="Arial" w:hAnsi="Arial" w:cs="Arial"/>
                <w:szCs w:val="22"/>
              </w:rPr>
              <w:t>Experience in a financial and/or legal role</w:t>
            </w: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5EBBFBD" w:rsidR="00114762" w:rsidRPr="00112331" w:rsidRDefault="001C2087" w:rsidP="00C927F1">
            <w:pPr>
              <w:spacing w:before="120" w:after="120"/>
              <w:jc w:val="both"/>
              <w:rPr>
                <w:rFonts w:ascii="Arial" w:hAnsi="Arial" w:cs="Arial"/>
                <w:szCs w:val="22"/>
              </w:rPr>
            </w:pPr>
            <w:r>
              <w:rPr>
                <w:rFonts w:ascii="Arial" w:hAnsi="Arial" w:cs="Arial"/>
                <w:szCs w:val="22"/>
              </w:rPr>
              <w:t>Financial qualification e.g. AAT or qualified by experience</w:t>
            </w: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3DEB3622" w:rsidR="00114762" w:rsidRPr="00112331" w:rsidRDefault="001C2087" w:rsidP="00C927F1">
            <w:pPr>
              <w:spacing w:before="120" w:after="120"/>
              <w:jc w:val="both"/>
              <w:rPr>
                <w:rFonts w:ascii="Arial" w:hAnsi="Arial" w:cs="Arial"/>
                <w:szCs w:val="22"/>
              </w:rPr>
            </w:pPr>
            <w:r>
              <w:rPr>
                <w:rFonts w:ascii="Arial" w:hAnsi="Arial" w:cs="Arial"/>
                <w:szCs w:val="22"/>
              </w:rPr>
              <w:t>Ability to assert what is possible legally but know when to escalate</w:t>
            </w: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A831EA">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876A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876A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876A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876A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876A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876A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876A4"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876A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B1E81CF"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C2087">
                  <w:rPr>
                    <w:rFonts w:ascii="Wingdings 2" w:hAnsi="Wingdings 2" w:cs="Arial"/>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876A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876A4"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A831EA">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626F0" w14:textId="77777777" w:rsidR="00A831EA" w:rsidRDefault="00A831EA" w:rsidP="007A55C8">
      <w:r>
        <w:separator/>
      </w:r>
    </w:p>
  </w:endnote>
  <w:endnote w:type="continuationSeparator" w:id="0">
    <w:p w14:paraId="4F6341DC" w14:textId="77777777" w:rsidR="00A831EA" w:rsidRDefault="00A831E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C208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C2087" w:rsidRDefault="001C208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C2087" w:rsidRPr="0006028D" w:rsidRDefault="001C208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C2087"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1C2087" w:rsidRDefault="001C2087" w:rsidP="00FC4D27">
    <w:pPr>
      <w:pStyle w:val="Footer"/>
      <w:ind w:firstLine="2880"/>
      <w:jc w:val="right"/>
      <w:rPr>
        <w:rFonts w:ascii="Arial" w:hAnsi="Arial" w:cs="Arial"/>
        <w:noProof/>
      </w:rPr>
    </w:pPr>
  </w:p>
  <w:p w14:paraId="04BBDEFD" w14:textId="77777777" w:rsidR="001C2087" w:rsidRDefault="001C2087" w:rsidP="00FC4D27">
    <w:pPr>
      <w:pStyle w:val="Footer"/>
      <w:ind w:firstLine="2880"/>
      <w:jc w:val="right"/>
      <w:rPr>
        <w:rFonts w:ascii="Arial" w:hAnsi="Arial" w:cs="Arial"/>
        <w:noProof/>
      </w:rPr>
    </w:pPr>
  </w:p>
  <w:p w14:paraId="0AC40F32" w14:textId="77777777" w:rsidR="001C208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7DB38" w14:textId="77777777" w:rsidR="00A831EA" w:rsidRDefault="00A831EA" w:rsidP="007A55C8">
      <w:r>
        <w:separator/>
      </w:r>
    </w:p>
  </w:footnote>
  <w:footnote w:type="continuationSeparator" w:id="0">
    <w:p w14:paraId="2B2D74D8" w14:textId="77777777" w:rsidR="00A831EA" w:rsidRDefault="00A831E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C208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505790">
    <w:abstractNumId w:val="2"/>
  </w:num>
  <w:num w:numId="2" w16cid:durableId="1952466782">
    <w:abstractNumId w:val="8"/>
  </w:num>
  <w:num w:numId="3" w16cid:durableId="1012607713">
    <w:abstractNumId w:val="5"/>
  </w:num>
  <w:num w:numId="4" w16cid:durableId="373234720">
    <w:abstractNumId w:val="4"/>
  </w:num>
  <w:num w:numId="5" w16cid:durableId="150683525">
    <w:abstractNumId w:val="9"/>
  </w:num>
  <w:num w:numId="6" w16cid:durableId="776829912">
    <w:abstractNumId w:val="7"/>
  </w:num>
  <w:num w:numId="7" w16cid:durableId="1382052522">
    <w:abstractNumId w:val="1"/>
  </w:num>
  <w:num w:numId="8" w16cid:durableId="2038118048">
    <w:abstractNumId w:val="10"/>
  </w:num>
  <w:num w:numId="9" w16cid:durableId="189995520">
    <w:abstractNumId w:val="3"/>
  </w:num>
  <w:num w:numId="10" w16cid:durableId="1312827360">
    <w:abstractNumId w:val="0"/>
  </w:num>
  <w:num w:numId="11" w16cid:durableId="273094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0A08"/>
    <w:rsid w:val="000876A4"/>
    <w:rsid w:val="00095994"/>
    <w:rsid w:val="000B4310"/>
    <w:rsid w:val="000C313F"/>
    <w:rsid w:val="00112331"/>
    <w:rsid w:val="00114762"/>
    <w:rsid w:val="00125ADA"/>
    <w:rsid w:val="00172A40"/>
    <w:rsid w:val="0019309F"/>
    <w:rsid w:val="001A3EA1"/>
    <w:rsid w:val="001C2087"/>
    <w:rsid w:val="001E1A41"/>
    <w:rsid w:val="00277475"/>
    <w:rsid w:val="002B2D2A"/>
    <w:rsid w:val="00361C14"/>
    <w:rsid w:val="003930B2"/>
    <w:rsid w:val="003D09E5"/>
    <w:rsid w:val="003E7E21"/>
    <w:rsid w:val="004000D7"/>
    <w:rsid w:val="00447A18"/>
    <w:rsid w:val="00460CB3"/>
    <w:rsid w:val="004619FB"/>
    <w:rsid w:val="0046450A"/>
    <w:rsid w:val="00481DF7"/>
    <w:rsid w:val="00484A5F"/>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A49E1"/>
    <w:rsid w:val="006B51E3"/>
    <w:rsid w:val="006C11BB"/>
    <w:rsid w:val="006C3EC9"/>
    <w:rsid w:val="007004F3"/>
    <w:rsid w:val="00713BDC"/>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75922"/>
    <w:rsid w:val="00A827C9"/>
    <w:rsid w:val="00A82DC5"/>
    <w:rsid w:val="00A831EA"/>
    <w:rsid w:val="00A9293D"/>
    <w:rsid w:val="00AD3168"/>
    <w:rsid w:val="00AD47F9"/>
    <w:rsid w:val="00B00B6C"/>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1E89"/>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341C"/>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1191b5-d48e-45b2-b58f-2c90d5e3c5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59CDD35D58934F8CE5BB5D372D6B26" ma:contentTypeVersion="18" ma:contentTypeDescription="Create a new document." ma:contentTypeScope="" ma:versionID="ee17d3a15ce23dfdf985b1b16b980ff5">
  <xsd:schema xmlns:xsd="http://www.w3.org/2001/XMLSchema" xmlns:xs="http://www.w3.org/2001/XMLSchema" xmlns:p="http://schemas.microsoft.com/office/2006/metadata/properties" xmlns:ns3="f51191b5-d48e-45b2-b58f-2c90d5e3c57a" xmlns:ns4="f8513aaa-92ca-4c2a-ac0f-81a7481e8b9d" targetNamespace="http://schemas.microsoft.com/office/2006/metadata/properties" ma:root="true" ma:fieldsID="0ba1c8856735cb442cf264be2d04ae7f" ns3:_="" ns4:_="">
    <xsd:import namespace="f51191b5-d48e-45b2-b58f-2c90d5e3c57a"/>
    <xsd:import namespace="f8513aaa-92ca-4c2a-ac0f-81a7481e8b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191b5-d48e-45b2-b58f-2c90d5e3c5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13aaa-92ca-4c2a-ac0f-81a7481e8b9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f51191b5-d48e-45b2-b58f-2c90d5e3c57a"/>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771B4429-7F99-40A7-9399-65403609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191b5-d48e-45b2-b58f-2c90d5e3c57a"/>
    <ds:schemaRef ds:uri="f8513aaa-92ca-4c2a-ac0f-81a7481e8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Stevenson, Christine - Oxfordshire County Council</cp:lastModifiedBy>
  <cp:revision>3</cp:revision>
  <dcterms:created xsi:type="dcterms:W3CDTF">2025-09-01T14:52:00Z</dcterms:created>
  <dcterms:modified xsi:type="dcterms:W3CDTF">2025-09-02T09:13:00Z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0x0101005159CDD35D58934F8CE5BB5D372D6B26</vt:lpwstr>
  </property>
</Properties>
</file>