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16096DC" w:rsidR="00A405EF" w:rsidRPr="00721AFC" w:rsidRDefault="00AD42CE" w:rsidP="00AD42CE">
            <w:pPr>
              <w:rPr>
                <w:rFonts w:ascii="Arial" w:hAnsi="Arial" w:cs="Arial"/>
                <w:szCs w:val="22"/>
              </w:rPr>
            </w:pPr>
            <w:r>
              <w:rPr>
                <w:rFonts w:ascii="Arial" w:hAnsi="Arial" w:cs="Arial"/>
                <w:bCs/>
                <w:sz w:val="24"/>
              </w:rPr>
              <w:t xml:space="preserve">Salary range: </w:t>
            </w:r>
            <w:r w:rsidR="00BA282D" w:rsidRPr="00BA282D">
              <w:rPr>
                <w:rFonts w:ascii="Arial" w:hAnsi="Arial" w:cs="Arial"/>
                <w:bCs/>
                <w:sz w:val="24"/>
              </w:rPr>
              <w:t>£25185 - £25583</w:t>
            </w:r>
            <w:r w:rsidR="00BA282D">
              <w:rPr>
                <w:rFonts w:ascii="Arial" w:hAnsi="Arial" w:cs="Arial"/>
                <w:bCs/>
                <w:sz w:val="24"/>
              </w:rPr>
              <w:t xml:space="preserve"> </w:t>
            </w:r>
            <w:r>
              <w:rPr>
                <w:rFonts w:ascii="Arial" w:hAnsi="Arial" w:cs="Arial"/>
                <w:bCs/>
                <w:sz w:val="24"/>
              </w:rPr>
              <w:t xml:space="preserve">pro-rata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3C0A9044" w:rsidR="00FC23FA" w:rsidRDefault="00BA282D" w:rsidP="00FC23FA">
            <w:r>
              <w:rPr>
                <w:rFonts w:ascii="Arial" w:hAnsi="Arial" w:cs="Arial"/>
              </w:rPr>
              <w:t>30 (</w:t>
            </w:r>
            <w:r w:rsidR="00FC23FA">
              <w:rPr>
                <w:rFonts w:ascii="Arial" w:hAnsi="Arial" w:cs="Arial"/>
              </w:rPr>
              <w:t>Term Time Only)</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346A0E6A" w:rsidR="00FC23FA" w:rsidRDefault="00013EBF" w:rsidP="00FC23FA">
            <w:r>
              <w:t>East</w:t>
            </w:r>
            <w:r w:rsidR="000078E1">
              <w:t xml:space="preserve"> Area - Oxford</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3CCE" w14:textId="77777777" w:rsidR="002101D5" w:rsidRDefault="002101D5" w:rsidP="007A55C8">
      <w:r>
        <w:separator/>
      </w:r>
    </w:p>
  </w:endnote>
  <w:endnote w:type="continuationSeparator" w:id="0">
    <w:p w14:paraId="6B88B081" w14:textId="77777777" w:rsidR="002101D5" w:rsidRDefault="002101D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13E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13EBF" w:rsidRDefault="00013EB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013EB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013EBF"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013EBF" w:rsidRDefault="00013EBF" w:rsidP="00FC4D27">
    <w:pPr>
      <w:pStyle w:val="Footer"/>
      <w:ind w:firstLine="2880"/>
      <w:jc w:val="right"/>
      <w:rPr>
        <w:rFonts w:ascii="Arial" w:hAnsi="Arial" w:cs="Arial"/>
        <w:noProof/>
      </w:rPr>
    </w:pPr>
  </w:p>
  <w:p w14:paraId="04BBDEFD" w14:textId="77777777" w:rsidR="00013EBF" w:rsidRDefault="00013EBF" w:rsidP="00FC4D27">
    <w:pPr>
      <w:pStyle w:val="Footer"/>
      <w:ind w:firstLine="2880"/>
      <w:jc w:val="right"/>
      <w:rPr>
        <w:rFonts w:ascii="Arial" w:hAnsi="Arial" w:cs="Arial"/>
        <w:noProof/>
      </w:rPr>
    </w:pPr>
  </w:p>
  <w:p w14:paraId="366639CC" w14:textId="77777777" w:rsidR="00013EBF"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13E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169E" w14:textId="77777777" w:rsidR="002101D5" w:rsidRDefault="002101D5" w:rsidP="007A55C8">
      <w:r>
        <w:separator/>
      </w:r>
    </w:p>
  </w:footnote>
  <w:footnote w:type="continuationSeparator" w:id="0">
    <w:p w14:paraId="1D7F8A8D" w14:textId="77777777" w:rsidR="002101D5" w:rsidRDefault="002101D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13E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42194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13EBF"/>
    <w:rsid w:val="00042E71"/>
    <w:rsid w:val="00095994"/>
    <w:rsid w:val="000B4310"/>
    <w:rsid w:val="000D5517"/>
    <w:rsid w:val="00114762"/>
    <w:rsid w:val="00125ADA"/>
    <w:rsid w:val="00161329"/>
    <w:rsid w:val="00172A40"/>
    <w:rsid w:val="0017534B"/>
    <w:rsid w:val="0019309F"/>
    <w:rsid w:val="002101D5"/>
    <w:rsid w:val="002632AC"/>
    <w:rsid w:val="00291EC8"/>
    <w:rsid w:val="00361C14"/>
    <w:rsid w:val="003930B2"/>
    <w:rsid w:val="003E7E21"/>
    <w:rsid w:val="003F206A"/>
    <w:rsid w:val="004000D7"/>
    <w:rsid w:val="0046450A"/>
    <w:rsid w:val="004E77EF"/>
    <w:rsid w:val="00504E43"/>
    <w:rsid w:val="005538F8"/>
    <w:rsid w:val="005E0DBE"/>
    <w:rsid w:val="005E7A01"/>
    <w:rsid w:val="006A62F8"/>
    <w:rsid w:val="006B51E3"/>
    <w:rsid w:val="006C11BB"/>
    <w:rsid w:val="006C3EC9"/>
    <w:rsid w:val="007004F3"/>
    <w:rsid w:val="00721AFC"/>
    <w:rsid w:val="007573B9"/>
    <w:rsid w:val="00760609"/>
    <w:rsid w:val="007908F4"/>
    <w:rsid w:val="007A55C8"/>
    <w:rsid w:val="008361E2"/>
    <w:rsid w:val="0085028E"/>
    <w:rsid w:val="00863690"/>
    <w:rsid w:val="008C0294"/>
    <w:rsid w:val="00934D38"/>
    <w:rsid w:val="00980C0A"/>
    <w:rsid w:val="00990ED4"/>
    <w:rsid w:val="00A405EF"/>
    <w:rsid w:val="00A50C5D"/>
    <w:rsid w:val="00AA40F5"/>
    <w:rsid w:val="00AD42CE"/>
    <w:rsid w:val="00B0457A"/>
    <w:rsid w:val="00BA282D"/>
    <w:rsid w:val="00C2290D"/>
    <w:rsid w:val="00C7665B"/>
    <w:rsid w:val="00CB40BC"/>
    <w:rsid w:val="00CD55CB"/>
    <w:rsid w:val="00D20953"/>
    <w:rsid w:val="00D757B0"/>
    <w:rsid w:val="00DA7303"/>
    <w:rsid w:val="00DB6C8D"/>
    <w:rsid w:val="00E34F5F"/>
    <w:rsid w:val="00E53C12"/>
    <w:rsid w:val="00E7328E"/>
    <w:rsid w:val="00EB6F28"/>
    <w:rsid w:val="00EC2916"/>
    <w:rsid w:val="00F22BA3"/>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700">
      <w:bodyDiv w:val="1"/>
      <w:marLeft w:val="0"/>
      <w:marRight w:val="0"/>
      <w:marTop w:val="0"/>
      <w:marBottom w:val="0"/>
      <w:divBdr>
        <w:top w:val="none" w:sz="0" w:space="0" w:color="auto"/>
        <w:left w:val="none" w:sz="0" w:space="0" w:color="auto"/>
        <w:bottom w:val="none" w:sz="0" w:space="0" w:color="auto"/>
        <w:right w:val="none" w:sz="0" w:space="0" w:color="auto"/>
      </w:divBdr>
    </w:div>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 w:id="9185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2023-03-09T07:24:00Z</dcterms:created>
  <dcterms:modified xsi:type="dcterms:W3CDTF">2025-09-23T09:07:00Z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