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26702642" w:rsidR="00F75D17" w:rsidRPr="00B64315" w:rsidRDefault="00F75D17" w:rsidP="00B64315">
            <w:pPr>
              <w:spacing w:after="120"/>
              <w:rPr>
                <w:rFonts w:ascii="Arial" w:hAnsi="Arial" w:cs="Arial"/>
              </w:rPr>
            </w:pPr>
            <w:r w:rsidRPr="00A14DE5">
              <w:rPr>
                <w:rFonts w:ascii="Arial" w:hAnsi="Arial" w:cs="Arial"/>
                <w:szCs w:val="22"/>
              </w:rPr>
              <w:t xml:space="preserve">Salary: </w:t>
            </w:r>
            <w:r w:rsidR="00B64315" w:rsidRPr="009C4E05">
              <w:rPr>
                <w:rFonts w:ascii="Arial" w:hAnsi="Arial" w:cs="Arial"/>
              </w:rPr>
              <w:t xml:space="preserve"> FTE £</w:t>
            </w:r>
            <w:r w:rsidR="00B64315">
              <w:rPr>
                <w:rFonts w:ascii="Arial" w:hAnsi="Arial" w:cs="Arial"/>
              </w:rPr>
              <w:t>2</w:t>
            </w:r>
            <w:r w:rsidR="00712F6C">
              <w:rPr>
                <w:rFonts w:ascii="Arial" w:hAnsi="Arial" w:cs="Arial"/>
              </w:rPr>
              <w:t>6,842 - £29,064</w:t>
            </w:r>
          </w:p>
          <w:p w14:paraId="138CB847" w14:textId="1FCF6214"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r w:rsidR="00712F6C">
              <w:rPr>
                <w:rFonts w:ascii="Arial" w:hAnsi="Arial" w:cs="Arial"/>
                <w:color w:val="000000" w:themeColor="text1"/>
                <w:szCs w:val="22"/>
              </w:rPr>
              <w:t xml:space="preserve">up to </w:t>
            </w:r>
            <w:r w:rsidR="0001257C">
              <w:rPr>
                <w:rFonts w:ascii="Arial" w:hAnsi="Arial" w:cs="Arial"/>
                <w:color w:val="000000" w:themeColor="text1"/>
                <w:szCs w:val="22"/>
              </w:rPr>
              <w:t>32.5</w:t>
            </w:r>
            <w:r w:rsidRPr="00A14DE5">
              <w:rPr>
                <w:rFonts w:ascii="Arial" w:hAnsi="Arial" w:cs="Arial"/>
                <w:color w:val="000000" w:themeColor="text1"/>
                <w:szCs w:val="22"/>
              </w:rPr>
              <w:t>/37 hours</w:t>
            </w:r>
            <w:r w:rsidRPr="00A14DE5">
              <w:rPr>
                <w:rFonts w:ascii="Arial" w:hAnsi="Arial" w:cs="Arial"/>
                <w:szCs w:val="22"/>
              </w:rPr>
              <w:t xml:space="preserve"> plus paid leave</w:t>
            </w:r>
            <w:r>
              <w:rPr>
                <w:rFonts w:ascii="Arial" w:hAnsi="Arial" w:cs="Arial"/>
                <w:szCs w:val="22"/>
              </w:rPr>
              <w:t xml:space="preserve"> (5.64 weeks)</w:t>
            </w:r>
          </w:p>
          <w:p w14:paraId="193E595C" w14:textId="7CF7CC0A" w:rsidR="00DD3ED0" w:rsidRDefault="00F75D17" w:rsidP="00F75D17">
            <w:pPr>
              <w:rPr>
                <w:rFonts w:ascii="Arial" w:hAnsi="Arial" w:cs="Arial"/>
              </w:rPr>
            </w:pPr>
            <w:r w:rsidRPr="00B120B5">
              <w:rPr>
                <w:rFonts w:ascii="Arial" w:hAnsi="Arial" w:cs="Arial"/>
                <w:szCs w:val="22"/>
              </w:rPr>
              <w:t xml:space="preserve">Hourly Rate: </w:t>
            </w:r>
            <w:r w:rsidRPr="00B120B5">
              <w:rPr>
                <w:rFonts w:ascii="Arial" w:hAnsi="Arial"/>
                <w:szCs w:val="22"/>
              </w:rPr>
              <w:t>£</w:t>
            </w:r>
            <w:r w:rsidR="00B64315">
              <w:rPr>
                <w:rFonts w:ascii="Arial" w:hAnsi="Arial"/>
                <w:szCs w:val="22"/>
              </w:rPr>
              <w:t>13.</w:t>
            </w:r>
            <w:r w:rsidR="00712F6C">
              <w:rPr>
                <w:rFonts w:ascii="Arial" w:hAnsi="Arial"/>
                <w:szCs w:val="22"/>
              </w:rPr>
              <w:t>90</w:t>
            </w:r>
            <w:r w:rsidRPr="00B120B5">
              <w:rPr>
                <w:rFonts w:ascii="Arial" w:hAnsi="Arial"/>
                <w:szCs w:val="22"/>
              </w:rPr>
              <w:t xml:space="preserve"> - £</w:t>
            </w:r>
            <w:r w:rsidR="00B64315">
              <w:rPr>
                <w:rFonts w:ascii="Arial" w:hAnsi="Arial"/>
                <w:szCs w:val="22"/>
              </w:rPr>
              <w:t>1</w:t>
            </w:r>
            <w:r w:rsidR="00712F6C">
              <w:rPr>
                <w:rFonts w:ascii="Arial" w:hAnsi="Arial"/>
                <w:szCs w:val="22"/>
              </w:rPr>
              <w:t>5.06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4AFB8BC" w:rsidR="00114762" w:rsidRDefault="00712F6C" w:rsidP="00DD3ED0">
            <w:r>
              <w:rPr>
                <w:rFonts w:ascii="Arial" w:hAnsi="Arial" w:cs="Arial"/>
                <w:color w:val="000000" w:themeColor="text1"/>
                <w:szCs w:val="22"/>
              </w:rPr>
              <w:t xml:space="preserve">Up to </w:t>
            </w:r>
            <w:r w:rsidR="00EA39FE">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 xml:space="preserve">(Pro Rata: </w:t>
            </w:r>
            <w:r w:rsidR="00EA39FE">
              <w:rPr>
                <w:rFonts w:ascii="Arial" w:hAnsi="Arial" w:cs="Arial"/>
                <w:szCs w:val="22"/>
              </w:rPr>
              <w:t>0.88FTE</w:t>
            </w:r>
            <w:r w:rsidR="00F75D17" w:rsidRPr="00A14DE5">
              <w:rPr>
                <w:rFonts w:ascii="Arial" w:hAnsi="Arial" w:cs="Arial"/>
                <w:szCs w:val="22"/>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1D6172A" w14:textId="567DF3F3" w:rsidR="00F75D17" w:rsidRDefault="0004531F" w:rsidP="00F75D17">
            <w:pPr>
              <w:spacing w:before="60" w:after="60"/>
              <w:rPr>
                <w:rFonts w:ascii="Arial" w:hAnsi="Arial" w:cs="Arial"/>
                <w:szCs w:val="22"/>
              </w:rPr>
            </w:pPr>
            <w:r>
              <w:rPr>
                <w:rFonts w:ascii="Arial" w:hAnsi="Arial" w:cs="Arial"/>
                <w:szCs w:val="22"/>
              </w:rPr>
              <w:t>Communication and Interaction Resource Base</w:t>
            </w:r>
          </w:p>
          <w:p w14:paraId="7D74D10D" w14:textId="544EDD03" w:rsidR="0004531F" w:rsidRPr="00A14DE5" w:rsidRDefault="0001257C" w:rsidP="00F75D17">
            <w:pPr>
              <w:spacing w:before="60" w:after="60"/>
              <w:rPr>
                <w:rFonts w:ascii="Arial" w:hAnsi="Arial" w:cs="Arial"/>
                <w:szCs w:val="22"/>
              </w:rPr>
            </w:pPr>
            <w:r>
              <w:rPr>
                <w:rFonts w:ascii="Arial" w:hAnsi="Arial" w:cs="Arial"/>
                <w:szCs w:val="22"/>
              </w:rPr>
              <w:t>Lord William</w:t>
            </w:r>
            <w:r w:rsidR="00712F6C">
              <w:rPr>
                <w:rFonts w:ascii="Arial" w:hAnsi="Arial" w:cs="Arial"/>
                <w:szCs w:val="22"/>
              </w:rPr>
              <w:t>s</w:t>
            </w:r>
            <w:r>
              <w:rPr>
                <w:rFonts w:ascii="Arial" w:hAnsi="Arial" w:cs="Arial"/>
                <w:szCs w:val="22"/>
              </w:rPr>
              <w:t>’s</w:t>
            </w:r>
            <w:r w:rsidR="0004531F">
              <w:rPr>
                <w:rFonts w:ascii="Arial" w:hAnsi="Arial" w:cs="Arial"/>
                <w:szCs w:val="22"/>
              </w:rPr>
              <w:t xml:space="preserve"> School </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1B68172F"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Autism)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0740B65E" w14:textId="77777777" w:rsidR="00712F6C" w:rsidRDefault="00712F6C" w:rsidP="00586503">
      <w:pPr>
        <w:rPr>
          <w:rFonts w:ascii="Arial" w:hAnsi="Arial" w:cs="Arial"/>
          <w:szCs w:val="22"/>
        </w:rPr>
      </w:pPr>
    </w:p>
    <w:p w14:paraId="2D3C5552" w14:textId="77777777" w:rsidR="00712F6C" w:rsidRDefault="00712F6C" w:rsidP="00586503">
      <w:pPr>
        <w:rPr>
          <w:rFonts w:ascii="Arial" w:hAnsi="Arial" w:cs="Arial"/>
          <w:szCs w:val="22"/>
        </w:rPr>
      </w:pPr>
    </w:p>
    <w:p w14:paraId="24CCD1E0" w14:textId="77777777" w:rsidR="00712F6C" w:rsidRPr="007A5ECF" w:rsidRDefault="00712F6C" w:rsidP="00586503">
      <w:pPr>
        <w:rPr>
          <w:rFonts w:ascii="Arial" w:hAnsi="Arial" w:cs="Arial"/>
          <w:szCs w:val="22"/>
        </w:rPr>
      </w:pP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lastRenderedPageBreak/>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12F6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12F6C"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712F6C"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712F6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12F6C"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lastRenderedPageBreak/>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5D2A72E4" w:rsidR="00C57F20" w:rsidRPr="008113A7" w:rsidRDefault="00712F6C">
      <w:r>
        <w:rPr>
          <w:rFonts w:ascii="Arial" w:hAnsi="Arial" w:cs="Arial"/>
          <w:iCs/>
          <w:szCs w:val="22"/>
        </w:rPr>
        <w:t>September</w:t>
      </w:r>
      <w:r w:rsidR="0001257C">
        <w:rPr>
          <w:rFonts w:ascii="Arial" w:hAnsi="Arial" w:cs="Arial"/>
          <w:iCs/>
          <w:szCs w:val="22"/>
        </w:rPr>
        <w:t xml:space="preserve">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257C"/>
    <w:rsid w:val="00042E71"/>
    <w:rsid w:val="0004531F"/>
    <w:rsid w:val="00095994"/>
    <w:rsid w:val="000A0CE0"/>
    <w:rsid w:val="000B4310"/>
    <w:rsid w:val="000C313F"/>
    <w:rsid w:val="00112331"/>
    <w:rsid w:val="00114762"/>
    <w:rsid w:val="00125ADA"/>
    <w:rsid w:val="00172A40"/>
    <w:rsid w:val="0019309F"/>
    <w:rsid w:val="001A3EA1"/>
    <w:rsid w:val="001E1A41"/>
    <w:rsid w:val="001E24E3"/>
    <w:rsid w:val="00212033"/>
    <w:rsid w:val="00246BAA"/>
    <w:rsid w:val="00277475"/>
    <w:rsid w:val="002B2D2A"/>
    <w:rsid w:val="00341B4B"/>
    <w:rsid w:val="00361C14"/>
    <w:rsid w:val="003666F1"/>
    <w:rsid w:val="003930B2"/>
    <w:rsid w:val="003E7E21"/>
    <w:rsid w:val="004000D7"/>
    <w:rsid w:val="00406545"/>
    <w:rsid w:val="00447A18"/>
    <w:rsid w:val="00460CB3"/>
    <w:rsid w:val="004619FB"/>
    <w:rsid w:val="0046450A"/>
    <w:rsid w:val="00480A71"/>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B51E3"/>
    <w:rsid w:val="006C11BB"/>
    <w:rsid w:val="006C3EC9"/>
    <w:rsid w:val="007004F3"/>
    <w:rsid w:val="00712F6C"/>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50C5D"/>
    <w:rsid w:val="00A827C9"/>
    <w:rsid w:val="00A9293D"/>
    <w:rsid w:val="00AC4424"/>
    <w:rsid w:val="00AD3168"/>
    <w:rsid w:val="00AD47F9"/>
    <w:rsid w:val="00AD56D5"/>
    <w:rsid w:val="00AD6792"/>
    <w:rsid w:val="00B0457A"/>
    <w:rsid w:val="00B120B5"/>
    <w:rsid w:val="00B26C50"/>
    <w:rsid w:val="00B402F1"/>
    <w:rsid w:val="00B50963"/>
    <w:rsid w:val="00B64315"/>
    <w:rsid w:val="00BA65A0"/>
    <w:rsid w:val="00BE0F61"/>
    <w:rsid w:val="00BE3A8A"/>
    <w:rsid w:val="00C22EE6"/>
    <w:rsid w:val="00C57F20"/>
    <w:rsid w:val="00C7266D"/>
    <w:rsid w:val="00C7665B"/>
    <w:rsid w:val="00CA1CE8"/>
    <w:rsid w:val="00CA2BAB"/>
    <w:rsid w:val="00CA6F82"/>
    <w:rsid w:val="00CA70BE"/>
    <w:rsid w:val="00CB40BC"/>
    <w:rsid w:val="00CB71DC"/>
    <w:rsid w:val="00CC2E71"/>
    <w:rsid w:val="00D00434"/>
    <w:rsid w:val="00D20953"/>
    <w:rsid w:val="00D757B0"/>
    <w:rsid w:val="00D93D43"/>
    <w:rsid w:val="00DA7303"/>
    <w:rsid w:val="00DB2194"/>
    <w:rsid w:val="00DB6037"/>
    <w:rsid w:val="00DD3ED0"/>
    <w:rsid w:val="00DF3CC6"/>
    <w:rsid w:val="00E34F5F"/>
    <w:rsid w:val="00E602BD"/>
    <w:rsid w:val="00E709E9"/>
    <w:rsid w:val="00E86136"/>
    <w:rsid w:val="00EA39FE"/>
    <w:rsid w:val="00EA6D19"/>
    <w:rsid w:val="00EB3DAE"/>
    <w:rsid w:val="00EB6F28"/>
    <w:rsid w:val="00EE76E6"/>
    <w:rsid w:val="00EF6D56"/>
    <w:rsid w:val="00F01386"/>
    <w:rsid w:val="00F22BA3"/>
    <w:rsid w:val="00F25B75"/>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Morrison, Rachel - Oxfordshire County Council</cp:lastModifiedBy>
  <cp:revision>2</cp:revision>
  <dcterms:created xsi:type="dcterms:W3CDTF">2025-09-05T10:09:00Z</dcterms:created>
  <dcterms:modified xsi:type="dcterms:W3CDTF">2025-09-05T10:09:00Z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