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2"/>
        <w:gridCol w:w="6593"/>
      </w:tblGrid>
      <w:tr w:rsidR="00420BF6" w:rsidRPr="00420BF6" w14:paraId="55A1C643" w14:textId="77777777">
        <w:trPr>
          <w:trHeight w:val="390"/>
        </w:trPr>
        <w:tc>
          <w:tcPr>
            <w:tcW w:w="10590" w:type="dxa"/>
            <w:gridSpan w:val="2"/>
            <w:tcBorders>
              <w:top w:val="single" w:sz="6" w:space="0" w:color="auto"/>
              <w:left w:val="single" w:sz="6" w:space="0" w:color="auto"/>
              <w:bottom w:val="single" w:sz="6" w:space="0" w:color="auto"/>
              <w:right w:val="single" w:sz="6" w:space="0" w:color="auto"/>
            </w:tcBorders>
            <w:shd w:val="clear" w:color="auto" w:fill="1F4E79"/>
            <w:vAlign w:val="center"/>
            <w:hideMark/>
          </w:tcPr>
          <w:p w14:paraId="56249CD7"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36"/>
                <w:szCs w:val="36"/>
                <w:lang w:eastAsia="en-GB"/>
                <w14:ligatures w14:val="none"/>
              </w:rPr>
              <w:t>Job Summary Overview</w:t>
            </w:r>
            <w:r w:rsidRPr="00420BF6">
              <w:rPr>
                <w:rFonts w:ascii="Arial" w:eastAsia="Times New Roman" w:hAnsi="Arial" w:cs="Arial"/>
                <w:color w:val="FFFFFF"/>
                <w:kern w:val="0"/>
                <w:sz w:val="36"/>
                <w:szCs w:val="36"/>
                <w:lang w:eastAsia="en-GB"/>
                <w14:ligatures w14:val="none"/>
              </w:rPr>
              <w:t> </w:t>
            </w:r>
          </w:p>
        </w:tc>
      </w:tr>
      <w:tr w:rsidR="00420BF6" w:rsidRPr="00420BF6" w14:paraId="3347C7D6" w14:textId="77777777">
        <w:trPr>
          <w:trHeight w:val="315"/>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3A3FD03B"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Job title</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3D2443BF"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Contracts &amp; Compliance Manager </w:t>
            </w:r>
          </w:p>
        </w:tc>
      </w:tr>
      <w:tr w:rsidR="00420BF6" w:rsidRPr="00420BF6" w14:paraId="57AC8606" w14:textId="77777777">
        <w:trPr>
          <w:trHeight w:val="315"/>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63CA213A"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Career family</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5C6988A8"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Operational Support </w:t>
            </w:r>
          </w:p>
        </w:tc>
      </w:tr>
      <w:tr w:rsidR="00420BF6" w:rsidRPr="00420BF6" w14:paraId="14136C9D" w14:textId="77777777">
        <w:trPr>
          <w:trHeight w:val="315"/>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109E6ABA"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Professional pathway </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28710D2E"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Fleet &amp; Transport </w:t>
            </w:r>
          </w:p>
        </w:tc>
      </w:tr>
      <w:tr w:rsidR="00420BF6" w:rsidRPr="00420BF6" w14:paraId="33A5FBC0" w14:textId="77777777">
        <w:trPr>
          <w:trHeight w:val="315"/>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483A80C7"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Career family level </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076B1F8C"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Team Leader / Manager (Tier 6)  </w:t>
            </w:r>
          </w:p>
        </w:tc>
      </w:tr>
      <w:tr w:rsidR="00420BF6" w:rsidRPr="00420BF6" w14:paraId="3947AE78" w14:textId="77777777">
        <w:trPr>
          <w:trHeight w:val="315"/>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01B7CFF1"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Grade</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03B10634"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16 </w:t>
            </w:r>
          </w:p>
        </w:tc>
      </w:tr>
      <w:tr w:rsidR="00420BF6" w:rsidRPr="00420BF6" w14:paraId="79B6EA5B" w14:textId="77777777">
        <w:trPr>
          <w:trHeight w:val="39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0DFCF732"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Reports to</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3CA3F9E7"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Strategic Supported Travel Operations Manager </w:t>
            </w:r>
          </w:p>
        </w:tc>
      </w:tr>
      <w:tr w:rsidR="00420BF6" w:rsidRPr="00420BF6" w14:paraId="721924B7"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7949A449"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Financial responsibility</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19306ED8"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Responsible for ensuring contracts (over 800) and spend of the £44 million are contract compliant, responsible for working with audit on potential fraud cases. And ensuring that the compliance is such that we are mitigating spending in addition to our budget due to non-compliance to contracts </w:t>
            </w:r>
          </w:p>
        </w:tc>
      </w:tr>
      <w:tr w:rsidR="00420BF6" w:rsidRPr="00420BF6" w14:paraId="75D380ED"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49A26EED"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Supervisory responsibility</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77864A0B"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Contract &amp; Compliance manager with 7 direct reports </w:t>
            </w:r>
          </w:p>
        </w:tc>
      </w:tr>
      <w:tr w:rsidR="00420BF6" w:rsidRPr="00420BF6" w14:paraId="28650C95" w14:textId="77777777">
        <w:trPr>
          <w:trHeight w:val="39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4E060AE5"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Reference number</w:t>
            </w:r>
            <w:r w:rsidRPr="00420BF6">
              <w:rPr>
                <w:rFonts w:ascii="Arial" w:eastAsia="Times New Roman" w:hAnsi="Arial" w:cs="Arial"/>
                <w:color w:val="FFFFFF"/>
                <w:kern w:val="0"/>
                <w:sz w:val="24"/>
                <w:szCs w:val="24"/>
                <w:lang w:eastAsia="en-GB"/>
                <w14:ligatures w14:val="none"/>
              </w:rPr>
              <w:t> </w:t>
            </w:r>
          </w:p>
        </w:tc>
        <w:tc>
          <w:tcPr>
            <w:tcW w:w="7890" w:type="dxa"/>
            <w:tcBorders>
              <w:top w:val="single" w:sz="6" w:space="0" w:color="000000"/>
              <w:left w:val="single" w:sz="6" w:space="0" w:color="auto"/>
              <w:bottom w:val="single" w:sz="6" w:space="0" w:color="000000"/>
              <w:right w:val="single" w:sz="6" w:space="0" w:color="000000"/>
            </w:tcBorders>
            <w:vAlign w:val="center"/>
            <w:hideMark/>
          </w:tcPr>
          <w:p w14:paraId="58DCC456"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 </w:t>
            </w:r>
          </w:p>
        </w:tc>
      </w:tr>
    </w:tbl>
    <w:p w14:paraId="47A074D7" w14:textId="77777777" w:rsidR="00420BF6" w:rsidRPr="00420BF6" w:rsidRDefault="00420BF6" w:rsidP="00420BF6">
      <w:pPr>
        <w:spacing w:after="0" w:line="240" w:lineRule="auto"/>
        <w:textAlignment w:val="baseline"/>
        <w:rPr>
          <w:rFonts w:ascii="Segoe UI" w:eastAsia="Times New Roman" w:hAnsi="Segoe UI" w:cs="Segoe UI"/>
          <w:kern w:val="0"/>
          <w:sz w:val="18"/>
          <w:szCs w:val="18"/>
          <w:lang w:eastAsia="en-GB"/>
          <w14:ligatures w14:val="none"/>
        </w:rPr>
      </w:pPr>
      <w:r w:rsidRPr="00420BF6">
        <w:rPr>
          <w:rFonts w:ascii="Arial" w:eastAsia="Times New Roman" w:hAnsi="Arial" w:cs="Arial"/>
          <w:color w:val="000000"/>
          <w:kern w:val="0"/>
          <w:sz w:val="24"/>
          <w:szCs w:val="24"/>
          <w:lang w:eastAsia="en-GB"/>
          <w14:ligatures w14:val="none"/>
        </w:rPr>
        <w:t> </w:t>
      </w:r>
    </w:p>
    <w:p w14:paraId="71AF253C" w14:textId="77777777" w:rsidR="00420BF6" w:rsidRPr="00420BF6" w:rsidRDefault="00420BF6" w:rsidP="00420BF6">
      <w:pPr>
        <w:spacing w:after="0" w:line="240" w:lineRule="auto"/>
        <w:textAlignment w:val="baseline"/>
        <w:rPr>
          <w:rFonts w:ascii="Segoe UI" w:eastAsia="Times New Roman" w:hAnsi="Segoe UI" w:cs="Segoe UI"/>
          <w:kern w:val="0"/>
          <w:sz w:val="18"/>
          <w:szCs w:val="18"/>
          <w:lang w:eastAsia="en-GB"/>
          <w14:ligatures w14:val="none"/>
        </w:rPr>
      </w:pPr>
      <w:r w:rsidRPr="00420BF6">
        <w:rPr>
          <w:rFonts w:ascii="Arial" w:eastAsia="Times New Roman" w:hAnsi="Arial" w:cs="Arial"/>
          <w:color w:val="000000"/>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20BF6" w:rsidRPr="00420BF6" w14:paraId="5D715456" w14:textId="77777777">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6734536C"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Job Summary</w:t>
            </w:r>
            <w:r w:rsidRPr="00420BF6">
              <w:rPr>
                <w:rFonts w:ascii="Arial" w:eastAsia="Times New Roman" w:hAnsi="Arial" w:cs="Arial"/>
                <w:color w:val="FFFFFF"/>
                <w:kern w:val="0"/>
                <w:sz w:val="24"/>
                <w:szCs w:val="24"/>
                <w:lang w:eastAsia="en-GB"/>
                <w14:ligatures w14:val="none"/>
              </w:rPr>
              <w:t>  </w:t>
            </w:r>
          </w:p>
        </w:tc>
      </w:tr>
      <w:tr w:rsidR="00420BF6" w:rsidRPr="00420BF6" w14:paraId="36126D68" w14:textId="77777777">
        <w:trPr>
          <w:trHeight w:val="300"/>
        </w:trPr>
        <w:tc>
          <w:tcPr>
            <w:tcW w:w="10515" w:type="dxa"/>
            <w:tcBorders>
              <w:top w:val="single" w:sz="6" w:space="0" w:color="auto"/>
              <w:left w:val="single" w:sz="6" w:space="0" w:color="auto"/>
              <w:bottom w:val="single" w:sz="6" w:space="0" w:color="auto"/>
              <w:right w:val="single" w:sz="6" w:space="0" w:color="auto"/>
            </w:tcBorders>
            <w:hideMark/>
          </w:tcPr>
          <w:p w14:paraId="5FBD5BFB"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The Contracts and Compliance Manager is a crucial leadership role, accountable for the strategic oversight and management of transport contracts for Home to School Travel Assistance and Adult Social Care Transport. This position ensures all commissioned services are safe, legally compliant, cost-effective, and meet the council’s statutory and strategic requirements. </w:t>
            </w:r>
          </w:p>
          <w:p w14:paraId="7E7E85DF"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 </w:t>
            </w:r>
          </w:p>
          <w:p w14:paraId="56E2A61C"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Key responsibilities include the management of monitoring contract performance, ensuring procurement compliance, and managing supplier relationships across both service areas. The postholder works collaboratively with teams including Finance and Travel Commissioning, oversees safeguarding and quality standards, and has line management responsibilities for contract and vetting staff. They ensure all provider staff undergo thorough DBS checks and vetting, upholding safeguarding and contractual requirements. </w:t>
            </w:r>
          </w:p>
          <w:p w14:paraId="500B61CE"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 </w:t>
            </w:r>
          </w:p>
          <w:p w14:paraId="5FB3E94F"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The role also handles complaints from stakeholders, investigates issues, implements service improvements, and facilitates cross-departmental collaboration to resolve compliance and contractual challenges. The manager supports regulatory adherence and continuous service improvement to ensure transport arrangements meet the evolving needs of children, young people, and adults—especially those with special educational needs, disabilities, or care requirements. </w:t>
            </w:r>
          </w:p>
          <w:p w14:paraId="140A74DC"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 </w:t>
            </w:r>
          </w:p>
          <w:p w14:paraId="7031EABE"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Collaboration is essential: the manager works closely with the Travel Commissioning Manager to resolve contractual and compliance issues impacting travel and transport services, and coordinates with the Transport Operations Manager to ensure our internal fleet provision adheres to regulatory standards, supporting safe and effective operations. </w:t>
            </w:r>
          </w:p>
          <w:p w14:paraId="46077E86"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 </w:t>
            </w:r>
          </w:p>
          <w:p w14:paraId="288DAC21" w14:textId="77777777" w:rsidR="00420BF6" w:rsidRPr="00420BF6" w:rsidRDefault="00420BF6" w:rsidP="00420BF6">
            <w:pPr>
              <w:numPr>
                <w:ilvl w:val="0"/>
                <w:numId w:val="1"/>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lastRenderedPageBreak/>
              <w:t>Provide strategic leadership and management for all transport contracts covering Home to School Travel Assistance and Adult Social Care Transport. </w:t>
            </w:r>
          </w:p>
          <w:p w14:paraId="5E113279" w14:textId="77777777" w:rsidR="00420BF6" w:rsidRPr="00420BF6" w:rsidRDefault="00420BF6" w:rsidP="00420BF6">
            <w:pPr>
              <w:numPr>
                <w:ilvl w:val="0"/>
                <w:numId w:val="2"/>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Ensure all services meet safety, legal, financial, and quality standards, and reflect the council’s statutory and strategic aims. </w:t>
            </w:r>
          </w:p>
          <w:p w14:paraId="54CA268B" w14:textId="77777777" w:rsidR="00420BF6" w:rsidRPr="00420BF6" w:rsidRDefault="00420BF6" w:rsidP="00420BF6">
            <w:pPr>
              <w:numPr>
                <w:ilvl w:val="0"/>
                <w:numId w:val="3"/>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Lead on contract performance monitoring, ensuring all providers deliver agreed outcomes and meet key performance indicators. </w:t>
            </w:r>
          </w:p>
          <w:p w14:paraId="6A35937C" w14:textId="77777777" w:rsidR="00420BF6" w:rsidRPr="00420BF6" w:rsidRDefault="00420BF6" w:rsidP="00420BF6">
            <w:pPr>
              <w:numPr>
                <w:ilvl w:val="0"/>
                <w:numId w:val="4"/>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Oversee compliance with procurement procedures, ensuring transparency, fairness, and value for money in all contract awards and renewals. </w:t>
            </w:r>
          </w:p>
          <w:p w14:paraId="2467F8F4" w14:textId="77777777" w:rsidR="00420BF6" w:rsidRPr="00420BF6" w:rsidRDefault="00420BF6" w:rsidP="00420BF6">
            <w:pPr>
              <w:numPr>
                <w:ilvl w:val="0"/>
                <w:numId w:val="5"/>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Manage relationships with suppliers to resolve performance issues and encourage high standards of service delivery. </w:t>
            </w:r>
          </w:p>
          <w:p w14:paraId="43C67A9D" w14:textId="77777777" w:rsidR="00420BF6" w:rsidRPr="00420BF6" w:rsidRDefault="00420BF6" w:rsidP="00420BF6">
            <w:pPr>
              <w:numPr>
                <w:ilvl w:val="0"/>
                <w:numId w:val="6"/>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Work collaboratively with the Finance Team to ensure providers comply with financial requirements, including invoicing, contract values, and budget management. </w:t>
            </w:r>
          </w:p>
          <w:p w14:paraId="305AA7F0" w14:textId="77777777" w:rsidR="00420BF6" w:rsidRPr="00420BF6" w:rsidRDefault="00420BF6" w:rsidP="00420BF6">
            <w:pPr>
              <w:numPr>
                <w:ilvl w:val="0"/>
                <w:numId w:val="7"/>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Partner with the Travel Commissioning Team to ensure safeguarding requirements and service quality standards are met, with a focus on vulnerable children and adults. </w:t>
            </w:r>
          </w:p>
          <w:p w14:paraId="20E95FEE" w14:textId="77777777" w:rsidR="00420BF6" w:rsidRPr="00420BF6" w:rsidRDefault="00420BF6" w:rsidP="00420BF6">
            <w:pPr>
              <w:numPr>
                <w:ilvl w:val="0"/>
                <w:numId w:val="8"/>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Hold direct line management responsibility for the Senior Contracts and Compliance Officer, Contracts and Compliance Officers, and the DBS &amp; Vetting Officers. </w:t>
            </w:r>
          </w:p>
          <w:p w14:paraId="3411FAB7" w14:textId="77777777" w:rsidR="00420BF6" w:rsidRPr="00420BF6" w:rsidRDefault="00420BF6" w:rsidP="00420BF6">
            <w:pPr>
              <w:numPr>
                <w:ilvl w:val="0"/>
                <w:numId w:val="9"/>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Oversee the implementation of DBS checks and vetting for all transport providers and their staff, maintaining strict safeguarding protocols. </w:t>
            </w:r>
          </w:p>
          <w:p w14:paraId="30CBFC5F" w14:textId="77777777" w:rsidR="00420BF6" w:rsidRPr="00420BF6" w:rsidRDefault="00420BF6" w:rsidP="00420BF6">
            <w:pPr>
              <w:numPr>
                <w:ilvl w:val="0"/>
                <w:numId w:val="10"/>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Handle and resolve escalated complaints and concerns from parents, carers, education, and adult social care services, as well as from transport providers. </w:t>
            </w:r>
          </w:p>
          <w:p w14:paraId="1C9DA3B4" w14:textId="77777777" w:rsidR="00420BF6" w:rsidRPr="00420BF6" w:rsidRDefault="00420BF6" w:rsidP="00420BF6">
            <w:pPr>
              <w:numPr>
                <w:ilvl w:val="0"/>
                <w:numId w:val="11"/>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Prepare regular reports for senior management on performance and service outcomes. </w:t>
            </w:r>
          </w:p>
          <w:p w14:paraId="669DE60A" w14:textId="77777777" w:rsidR="00420BF6" w:rsidRPr="00420BF6" w:rsidRDefault="00420BF6" w:rsidP="00420BF6">
            <w:pPr>
              <w:numPr>
                <w:ilvl w:val="0"/>
                <w:numId w:val="12"/>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Responsible for delivery of set audit actions and resolve service-related issues. </w:t>
            </w:r>
          </w:p>
          <w:p w14:paraId="528EE992" w14:textId="77777777" w:rsidR="00420BF6" w:rsidRPr="00420BF6" w:rsidRDefault="00420BF6" w:rsidP="00420BF6">
            <w:pPr>
              <w:numPr>
                <w:ilvl w:val="0"/>
                <w:numId w:val="13"/>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Ensure timely responses to Freedom of Information (FOI) requests, proactively identify emerging trends </w:t>
            </w:r>
          </w:p>
          <w:p w14:paraId="4FA35B02" w14:textId="77777777" w:rsidR="00420BF6" w:rsidRPr="00420BF6" w:rsidRDefault="00420BF6" w:rsidP="00420BF6">
            <w:pPr>
              <w:numPr>
                <w:ilvl w:val="0"/>
                <w:numId w:val="14"/>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Support the implementation of service and systems enhancements in alignment with initiatives led by the Delivery and Assurance Manager. </w:t>
            </w:r>
          </w:p>
          <w:p w14:paraId="48E734D1" w14:textId="77777777" w:rsidR="00420BF6" w:rsidRPr="00420BF6" w:rsidRDefault="00420BF6" w:rsidP="00420BF6">
            <w:pPr>
              <w:numPr>
                <w:ilvl w:val="0"/>
                <w:numId w:val="15"/>
              </w:numPr>
              <w:spacing w:after="0" w:line="240" w:lineRule="auto"/>
              <w:ind w:left="1080" w:firstLine="0"/>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Support ongoing strategic service improvement initiatives, leading on projects for continuous improvement </w:t>
            </w:r>
          </w:p>
          <w:p w14:paraId="68E20EA4"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Segoe UI" w:eastAsia="Times New Roman" w:hAnsi="Segoe UI" w:cs="Segoe UI"/>
                <w:kern w:val="0"/>
                <w:sz w:val="18"/>
                <w:szCs w:val="18"/>
                <w:lang w:eastAsia="en-GB"/>
                <w14:ligatures w14:val="none"/>
              </w:rPr>
              <w:t> </w:t>
            </w:r>
          </w:p>
          <w:p w14:paraId="435885D1"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  </w:t>
            </w:r>
          </w:p>
        </w:tc>
      </w:tr>
    </w:tbl>
    <w:p w14:paraId="7BFBF762" w14:textId="77777777" w:rsidR="00420BF6" w:rsidRPr="00420BF6" w:rsidRDefault="00420BF6" w:rsidP="00420BF6">
      <w:pPr>
        <w:spacing w:after="0" w:line="240" w:lineRule="auto"/>
        <w:textAlignment w:val="baseline"/>
        <w:rPr>
          <w:rFonts w:ascii="Segoe UI" w:eastAsia="Times New Roman" w:hAnsi="Segoe UI" w:cs="Segoe UI"/>
          <w:kern w:val="0"/>
          <w:sz w:val="18"/>
          <w:szCs w:val="18"/>
          <w:lang w:eastAsia="en-GB"/>
          <w14:ligatures w14:val="none"/>
        </w:rPr>
      </w:pPr>
      <w:r w:rsidRPr="00420BF6">
        <w:rPr>
          <w:rFonts w:ascii="Arial" w:eastAsia="Times New Roman" w:hAnsi="Arial" w:cs="Arial"/>
          <w:color w:val="000000"/>
          <w:kern w:val="0"/>
          <w:sz w:val="24"/>
          <w:szCs w:val="24"/>
          <w:lang w:eastAsia="en-GB"/>
          <w14:ligatures w14:val="none"/>
        </w:rPr>
        <w:lastRenderedPageBreak/>
        <w:t> </w:t>
      </w:r>
    </w:p>
    <w:p w14:paraId="0C4E6B2F" w14:textId="77777777" w:rsidR="00420BF6" w:rsidRPr="00420BF6" w:rsidRDefault="00420BF6" w:rsidP="00420BF6">
      <w:pPr>
        <w:spacing w:after="0" w:line="240" w:lineRule="auto"/>
        <w:textAlignment w:val="baseline"/>
        <w:rPr>
          <w:rFonts w:ascii="Segoe UI" w:eastAsia="Times New Roman" w:hAnsi="Segoe UI" w:cs="Segoe UI"/>
          <w:kern w:val="0"/>
          <w:sz w:val="18"/>
          <w:szCs w:val="18"/>
          <w:lang w:eastAsia="en-GB"/>
          <w14:ligatures w14:val="none"/>
        </w:rPr>
      </w:pPr>
      <w:r w:rsidRPr="00420BF6">
        <w:rPr>
          <w:rFonts w:ascii="Arial" w:eastAsia="Times New Roman" w:hAnsi="Arial" w:cs="Arial"/>
          <w:color w:val="000000"/>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5"/>
        <w:gridCol w:w="1228"/>
        <w:gridCol w:w="1257"/>
      </w:tblGrid>
      <w:tr w:rsidR="00420BF6" w:rsidRPr="00420BF6" w14:paraId="22B09736" w14:textId="77777777">
        <w:trPr>
          <w:trHeight w:val="300"/>
        </w:trPr>
        <w:tc>
          <w:tcPr>
            <w:tcW w:w="7920" w:type="dxa"/>
            <w:tcBorders>
              <w:top w:val="single" w:sz="6" w:space="0" w:color="auto"/>
              <w:left w:val="single" w:sz="6" w:space="0" w:color="auto"/>
              <w:bottom w:val="single" w:sz="6" w:space="0" w:color="auto"/>
              <w:right w:val="single" w:sz="6" w:space="0" w:color="auto"/>
            </w:tcBorders>
            <w:shd w:val="clear" w:color="auto" w:fill="1F4E79"/>
            <w:hideMark/>
          </w:tcPr>
          <w:p w14:paraId="377291DD"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Specific requirements</w:t>
            </w:r>
            <w:r w:rsidRPr="00420BF6">
              <w:rPr>
                <w:rFonts w:ascii="Arial" w:eastAsia="Times New Roman" w:hAnsi="Arial" w:cs="Arial"/>
                <w:color w:val="FFFFFF"/>
                <w:kern w:val="0"/>
                <w:sz w:val="24"/>
                <w:szCs w:val="24"/>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1F4E79"/>
            <w:hideMark/>
          </w:tcPr>
          <w:p w14:paraId="41529012"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Essential</w:t>
            </w:r>
            <w:r w:rsidRPr="00420BF6">
              <w:rPr>
                <w:rFonts w:ascii="Arial" w:eastAsia="Times New Roman" w:hAnsi="Arial" w:cs="Arial"/>
                <w:color w:val="FFFFFF"/>
                <w:kern w:val="0"/>
                <w:sz w:val="24"/>
                <w:szCs w:val="24"/>
                <w:lang w:eastAsia="en-GB"/>
                <w14:ligatures w14:val="none"/>
              </w:rPr>
              <w:t> </w:t>
            </w:r>
          </w:p>
          <w:p w14:paraId="176DD2A4"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i/>
                <w:iCs/>
                <w:color w:val="FFFFFF"/>
                <w:kern w:val="0"/>
                <w:sz w:val="16"/>
                <w:szCs w:val="16"/>
                <w:lang w:eastAsia="en-GB"/>
                <w14:ligatures w14:val="none"/>
              </w:rPr>
              <w:t>Mark with </w:t>
            </w:r>
            <w:r w:rsidRPr="00420BF6">
              <w:rPr>
                <w:rFonts w:ascii="Wingdings 2" w:eastAsia="Times New Roman" w:hAnsi="Wingdings 2" w:cs="Times New Roman"/>
                <w:color w:val="FFFFFF"/>
                <w:kern w:val="0"/>
                <w:sz w:val="24"/>
                <w:szCs w:val="24"/>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shd w:val="clear" w:color="auto" w:fill="1F4E79"/>
            <w:hideMark/>
          </w:tcPr>
          <w:p w14:paraId="6B3697B8"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Desirable</w:t>
            </w:r>
            <w:r w:rsidRPr="00420BF6">
              <w:rPr>
                <w:rFonts w:ascii="Arial" w:eastAsia="Times New Roman" w:hAnsi="Arial" w:cs="Arial"/>
                <w:color w:val="FFFFFF"/>
                <w:kern w:val="0"/>
                <w:sz w:val="24"/>
                <w:szCs w:val="24"/>
                <w:lang w:eastAsia="en-GB"/>
                <w14:ligatures w14:val="none"/>
              </w:rPr>
              <w:t> </w:t>
            </w:r>
          </w:p>
          <w:p w14:paraId="28676C40"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i/>
                <w:iCs/>
                <w:color w:val="FFFFFF"/>
                <w:kern w:val="0"/>
                <w:sz w:val="16"/>
                <w:szCs w:val="16"/>
                <w:lang w:eastAsia="en-GB"/>
                <w14:ligatures w14:val="none"/>
              </w:rPr>
              <w:t>Mark with </w:t>
            </w:r>
            <w:r w:rsidRPr="00420BF6">
              <w:rPr>
                <w:rFonts w:ascii="Wingdings 2" w:eastAsia="Times New Roman" w:hAnsi="Wingdings 2" w:cs="Times New Roman"/>
                <w:color w:val="FFFFFF"/>
                <w:kern w:val="0"/>
                <w:sz w:val="24"/>
                <w:szCs w:val="24"/>
                <w:lang w:eastAsia="en-GB"/>
                <w14:ligatures w14:val="none"/>
              </w:rPr>
              <w:t>P </w:t>
            </w:r>
          </w:p>
        </w:tc>
      </w:tr>
      <w:tr w:rsidR="00420BF6" w:rsidRPr="00420BF6" w14:paraId="4F231799"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6BA5C2CA"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Extensive experience in contract management and public sector transport procurement. </w:t>
            </w:r>
          </w:p>
        </w:tc>
        <w:tc>
          <w:tcPr>
            <w:tcW w:w="1260" w:type="dxa"/>
            <w:tcBorders>
              <w:top w:val="single" w:sz="6" w:space="0" w:color="auto"/>
              <w:left w:val="single" w:sz="6" w:space="0" w:color="auto"/>
              <w:bottom w:val="single" w:sz="6" w:space="0" w:color="auto"/>
              <w:right w:val="single" w:sz="6" w:space="0" w:color="auto"/>
            </w:tcBorders>
            <w:hideMark/>
          </w:tcPr>
          <w:p w14:paraId="512EA6DC"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05C419EC"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45A22DE8"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104D3083"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Ability to build and maintain effective relationships with suppliers, internal teams, and stakeholders. </w:t>
            </w:r>
          </w:p>
        </w:tc>
        <w:tc>
          <w:tcPr>
            <w:tcW w:w="1260" w:type="dxa"/>
            <w:tcBorders>
              <w:top w:val="single" w:sz="6" w:space="0" w:color="auto"/>
              <w:left w:val="single" w:sz="6" w:space="0" w:color="auto"/>
              <w:bottom w:val="single" w:sz="6" w:space="0" w:color="auto"/>
              <w:right w:val="single" w:sz="6" w:space="0" w:color="auto"/>
            </w:tcBorders>
            <w:hideMark/>
          </w:tcPr>
          <w:p w14:paraId="7C4AC297"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5B18131D"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260A090D"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79C7E61C"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Excellent analytical, investigative, and problem-solving abilities, particularly in relation to complaints handling and service improvement. </w:t>
            </w:r>
          </w:p>
        </w:tc>
        <w:tc>
          <w:tcPr>
            <w:tcW w:w="1260" w:type="dxa"/>
            <w:tcBorders>
              <w:top w:val="single" w:sz="6" w:space="0" w:color="auto"/>
              <w:left w:val="single" w:sz="6" w:space="0" w:color="auto"/>
              <w:bottom w:val="single" w:sz="6" w:space="0" w:color="auto"/>
              <w:right w:val="single" w:sz="6" w:space="0" w:color="auto"/>
            </w:tcBorders>
            <w:hideMark/>
          </w:tcPr>
          <w:p w14:paraId="04D3AF4B"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47F8921C"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4C99F14F"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6A09F922"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lastRenderedPageBreak/>
              <w:t>In-depth understanding of safeguarding legislation, regulatory frameworks, and best practice standards in transport services for vulnerable groups. </w:t>
            </w:r>
          </w:p>
        </w:tc>
        <w:tc>
          <w:tcPr>
            <w:tcW w:w="1260" w:type="dxa"/>
            <w:tcBorders>
              <w:top w:val="single" w:sz="6" w:space="0" w:color="auto"/>
              <w:left w:val="single" w:sz="6" w:space="0" w:color="auto"/>
              <w:bottom w:val="single" w:sz="6" w:space="0" w:color="auto"/>
              <w:right w:val="single" w:sz="6" w:space="0" w:color="auto"/>
            </w:tcBorders>
            <w:hideMark/>
          </w:tcPr>
          <w:p w14:paraId="1BA77D26"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0378CE96"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6A38D949"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48CB52F8"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Relationship Building: Proven track record of establishing and maintaining effective relationships with suppliers, internal teams, and stakeholders. </w:t>
            </w:r>
          </w:p>
        </w:tc>
        <w:tc>
          <w:tcPr>
            <w:tcW w:w="1260" w:type="dxa"/>
            <w:tcBorders>
              <w:top w:val="single" w:sz="6" w:space="0" w:color="auto"/>
              <w:left w:val="single" w:sz="6" w:space="0" w:color="auto"/>
              <w:bottom w:val="single" w:sz="6" w:space="0" w:color="auto"/>
              <w:right w:val="single" w:sz="6" w:space="0" w:color="auto"/>
            </w:tcBorders>
            <w:hideMark/>
          </w:tcPr>
          <w:p w14:paraId="3B3AC3D1"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58770CF4"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451CFFBC"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21F4ADE6"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Regulatory Compliance: Ability to ensure compliance with procurement, financial, and statutory requirements. </w:t>
            </w:r>
          </w:p>
        </w:tc>
        <w:tc>
          <w:tcPr>
            <w:tcW w:w="1260" w:type="dxa"/>
            <w:tcBorders>
              <w:top w:val="single" w:sz="6" w:space="0" w:color="auto"/>
              <w:left w:val="single" w:sz="6" w:space="0" w:color="auto"/>
              <w:bottom w:val="single" w:sz="6" w:space="0" w:color="auto"/>
              <w:right w:val="single" w:sz="6" w:space="0" w:color="auto"/>
            </w:tcBorders>
            <w:hideMark/>
          </w:tcPr>
          <w:p w14:paraId="42C00501"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5B8CD6E5"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6C0FAF1B"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048BA265"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Quality Assurance: Experience overseeing safeguarding and quality assurance procedures, such as DBS checks and vetting. </w:t>
            </w:r>
          </w:p>
        </w:tc>
        <w:tc>
          <w:tcPr>
            <w:tcW w:w="1260" w:type="dxa"/>
            <w:tcBorders>
              <w:top w:val="single" w:sz="6" w:space="0" w:color="auto"/>
              <w:left w:val="single" w:sz="6" w:space="0" w:color="auto"/>
              <w:bottom w:val="single" w:sz="6" w:space="0" w:color="auto"/>
              <w:right w:val="single" w:sz="6" w:space="0" w:color="auto"/>
            </w:tcBorders>
            <w:hideMark/>
          </w:tcPr>
          <w:p w14:paraId="7BE1C106"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c>
          <w:tcPr>
            <w:tcW w:w="1290" w:type="dxa"/>
            <w:tcBorders>
              <w:top w:val="single" w:sz="6" w:space="0" w:color="auto"/>
              <w:left w:val="single" w:sz="6" w:space="0" w:color="auto"/>
              <w:bottom w:val="single" w:sz="6" w:space="0" w:color="auto"/>
              <w:right w:val="single" w:sz="6" w:space="0" w:color="auto"/>
            </w:tcBorders>
            <w:hideMark/>
          </w:tcPr>
          <w:p w14:paraId="1EB6F632"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r>
      <w:tr w:rsidR="00420BF6" w:rsidRPr="00420BF6" w14:paraId="7EC1BA7F"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30BDA1EF"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Communication and Negotiation: Outstanding skills in communication, negotiation, and decision-making, with a collaborative and solution-focused mindset. </w:t>
            </w:r>
          </w:p>
        </w:tc>
        <w:tc>
          <w:tcPr>
            <w:tcW w:w="1260" w:type="dxa"/>
            <w:tcBorders>
              <w:top w:val="single" w:sz="6" w:space="0" w:color="auto"/>
              <w:left w:val="single" w:sz="6" w:space="0" w:color="auto"/>
              <w:bottom w:val="single" w:sz="6" w:space="0" w:color="auto"/>
              <w:right w:val="single" w:sz="6" w:space="0" w:color="auto"/>
            </w:tcBorders>
            <w:hideMark/>
          </w:tcPr>
          <w:p w14:paraId="75FA22DD"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18187EB6"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296B807C"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691C84AF"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Professional Qualifications: Relevant management credentials (e.g., CIPS, ILM, CMI or equivalent). </w:t>
            </w:r>
          </w:p>
        </w:tc>
        <w:tc>
          <w:tcPr>
            <w:tcW w:w="1260" w:type="dxa"/>
            <w:tcBorders>
              <w:top w:val="single" w:sz="6" w:space="0" w:color="auto"/>
              <w:left w:val="single" w:sz="6" w:space="0" w:color="auto"/>
              <w:bottom w:val="single" w:sz="6" w:space="0" w:color="auto"/>
              <w:right w:val="single" w:sz="6" w:space="0" w:color="auto"/>
            </w:tcBorders>
            <w:hideMark/>
          </w:tcPr>
          <w:p w14:paraId="061B12CE"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57AD2B85"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20E0F93A"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1C2CCF7E"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Sector Experience: Background in local authority or council environments, particularly in Home to School Travel Assistance or Adult Social Care Transport. </w:t>
            </w:r>
          </w:p>
        </w:tc>
        <w:tc>
          <w:tcPr>
            <w:tcW w:w="1260" w:type="dxa"/>
            <w:tcBorders>
              <w:top w:val="single" w:sz="6" w:space="0" w:color="auto"/>
              <w:left w:val="single" w:sz="6" w:space="0" w:color="auto"/>
              <w:bottom w:val="single" w:sz="6" w:space="0" w:color="auto"/>
              <w:right w:val="single" w:sz="6" w:space="0" w:color="auto"/>
            </w:tcBorders>
            <w:hideMark/>
          </w:tcPr>
          <w:p w14:paraId="7E20E252"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4E9763EA"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06745ADC"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71C5EB27"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Information Governance: Experience responding to Freedom of Information requests and identifying service trends. </w:t>
            </w:r>
          </w:p>
        </w:tc>
        <w:tc>
          <w:tcPr>
            <w:tcW w:w="1260" w:type="dxa"/>
            <w:tcBorders>
              <w:top w:val="single" w:sz="6" w:space="0" w:color="auto"/>
              <w:left w:val="single" w:sz="6" w:space="0" w:color="auto"/>
              <w:bottom w:val="single" w:sz="6" w:space="0" w:color="auto"/>
              <w:right w:val="single" w:sz="6" w:space="0" w:color="auto"/>
            </w:tcBorders>
            <w:hideMark/>
          </w:tcPr>
          <w:p w14:paraId="50DB2324"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01DFEC2E"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53CEA4A1"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38CE5B9A"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Systems Implementation: Knowledge of and experience with implementing service and systems enhancements. </w:t>
            </w:r>
          </w:p>
        </w:tc>
        <w:tc>
          <w:tcPr>
            <w:tcW w:w="1260" w:type="dxa"/>
            <w:tcBorders>
              <w:top w:val="single" w:sz="6" w:space="0" w:color="auto"/>
              <w:left w:val="single" w:sz="6" w:space="0" w:color="auto"/>
              <w:bottom w:val="single" w:sz="6" w:space="0" w:color="auto"/>
              <w:right w:val="single" w:sz="6" w:space="0" w:color="auto"/>
            </w:tcBorders>
            <w:hideMark/>
          </w:tcPr>
          <w:p w14:paraId="5F9CFDD3"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p w14:paraId="24C25EDF"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c>
          <w:tcPr>
            <w:tcW w:w="1290" w:type="dxa"/>
            <w:tcBorders>
              <w:top w:val="single" w:sz="6" w:space="0" w:color="auto"/>
              <w:left w:val="single" w:sz="6" w:space="0" w:color="auto"/>
              <w:bottom w:val="single" w:sz="6" w:space="0" w:color="auto"/>
              <w:right w:val="single" w:sz="6" w:space="0" w:color="auto"/>
            </w:tcBorders>
            <w:hideMark/>
          </w:tcPr>
          <w:p w14:paraId="4FBE54F9"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6CA4A824"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398E9BF7"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Audit Experience: Understanding of audit processes and a record of delivering audit-related outcomes. </w:t>
            </w:r>
          </w:p>
        </w:tc>
        <w:tc>
          <w:tcPr>
            <w:tcW w:w="1260" w:type="dxa"/>
            <w:tcBorders>
              <w:top w:val="single" w:sz="6" w:space="0" w:color="auto"/>
              <w:left w:val="single" w:sz="6" w:space="0" w:color="auto"/>
              <w:bottom w:val="single" w:sz="6" w:space="0" w:color="auto"/>
              <w:right w:val="single" w:sz="6" w:space="0" w:color="auto"/>
            </w:tcBorders>
            <w:hideMark/>
          </w:tcPr>
          <w:p w14:paraId="2F0226A7"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009198EF"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613D15E3"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03D36A70"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Adaptability: Ability to work flexibly and respond to changing service requirements and legislative updates. </w:t>
            </w:r>
          </w:p>
        </w:tc>
        <w:tc>
          <w:tcPr>
            <w:tcW w:w="1260" w:type="dxa"/>
            <w:tcBorders>
              <w:top w:val="single" w:sz="6" w:space="0" w:color="auto"/>
              <w:left w:val="single" w:sz="6" w:space="0" w:color="auto"/>
              <w:bottom w:val="single" w:sz="6" w:space="0" w:color="auto"/>
              <w:right w:val="single" w:sz="6" w:space="0" w:color="auto"/>
            </w:tcBorders>
            <w:hideMark/>
          </w:tcPr>
          <w:p w14:paraId="60A7055B"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p w14:paraId="02855685"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c>
          <w:tcPr>
            <w:tcW w:w="1290" w:type="dxa"/>
            <w:tcBorders>
              <w:top w:val="single" w:sz="6" w:space="0" w:color="auto"/>
              <w:left w:val="single" w:sz="6" w:space="0" w:color="auto"/>
              <w:bottom w:val="single" w:sz="6" w:space="0" w:color="auto"/>
              <w:right w:val="single" w:sz="6" w:space="0" w:color="auto"/>
            </w:tcBorders>
            <w:hideMark/>
          </w:tcPr>
          <w:p w14:paraId="5054D35A"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3979E397"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7F7D8F69"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IT Proficiency: Competence in using contract management and procurement software systems. </w:t>
            </w:r>
          </w:p>
        </w:tc>
        <w:tc>
          <w:tcPr>
            <w:tcW w:w="1260" w:type="dxa"/>
            <w:tcBorders>
              <w:top w:val="single" w:sz="6" w:space="0" w:color="auto"/>
              <w:left w:val="single" w:sz="6" w:space="0" w:color="auto"/>
              <w:bottom w:val="single" w:sz="6" w:space="0" w:color="auto"/>
              <w:right w:val="single" w:sz="6" w:space="0" w:color="auto"/>
            </w:tcBorders>
            <w:hideMark/>
          </w:tcPr>
          <w:p w14:paraId="0EF3A935"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P </w:t>
            </w:r>
          </w:p>
        </w:tc>
        <w:tc>
          <w:tcPr>
            <w:tcW w:w="1290" w:type="dxa"/>
            <w:tcBorders>
              <w:top w:val="single" w:sz="6" w:space="0" w:color="auto"/>
              <w:left w:val="single" w:sz="6" w:space="0" w:color="auto"/>
              <w:bottom w:val="single" w:sz="6" w:space="0" w:color="auto"/>
              <w:right w:val="single" w:sz="6" w:space="0" w:color="auto"/>
            </w:tcBorders>
            <w:hideMark/>
          </w:tcPr>
          <w:p w14:paraId="34AF05AF"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r w:rsidR="00420BF6" w:rsidRPr="00420BF6" w14:paraId="01152E2F"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141CE99B"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lang w:eastAsia="en-GB"/>
                <w14:ligatures w14:val="none"/>
              </w:rPr>
              <w:t>Minimum of 5 GCSEs (A*-C) grade or equivalent academic achievements.   </w:t>
            </w:r>
          </w:p>
        </w:tc>
        <w:tc>
          <w:tcPr>
            <w:tcW w:w="1260" w:type="dxa"/>
            <w:tcBorders>
              <w:top w:val="single" w:sz="6" w:space="0" w:color="auto"/>
              <w:left w:val="single" w:sz="6" w:space="0" w:color="auto"/>
              <w:bottom w:val="single" w:sz="6" w:space="0" w:color="auto"/>
              <w:right w:val="single" w:sz="6" w:space="0" w:color="auto"/>
            </w:tcBorders>
            <w:hideMark/>
          </w:tcPr>
          <w:p w14:paraId="343A994E"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Wingdings 2" w:eastAsia="Times New Roman" w:hAnsi="Wingdings 2" w:cs="Times New Roman"/>
                <w:color w:val="000000"/>
                <w:kern w:val="0"/>
                <w:sz w:val="36"/>
                <w:szCs w:val="36"/>
                <w:lang w:eastAsia="en-GB"/>
                <w14:ligatures w14:val="none"/>
              </w:rPr>
              <w:t> </w:t>
            </w:r>
          </w:p>
        </w:tc>
        <w:tc>
          <w:tcPr>
            <w:tcW w:w="1290" w:type="dxa"/>
            <w:tcBorders>
              <w:top w:val="single" w:sz="6" w:space="0" w:color="auto"/>
              <w:left w:val="single" w:sz="6" w:space="0" w:color="auto"/>
              <w:bottom w:val="single" w:sz="6" w:space="0" w:color="auto"/>
              <w:right w:val="single" w:sz="6" w:space="0" w:color="auto"/>
            </w:tcBorders>
            <w:hideMark/>
          </w:tcPr>
          <w:p w14:paraId="47180F71" w14:textId="77777777" w:rsidR="00420BF6" w:rsidRPr="00420BF6" w:rsidRDefault="00420BF6" w:rsidP="00420BF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2F5496"/>
                <w:kern w:val="0"/>
                <w:sz w:val="24"/>
                <w:szCs w:val="24"/>
                <w:lang w:eastAsia="en-GB"/>
                <w14:ligatures w14:val="none"/>
              </w:rPr>
              <w:t> </w:t>
            </w:r>
          </w:p>
        </w:tc>
      </w:tr>
    </w:tbl>
    <w:p w14:paraId="2499632B" w14:textId="77777777" w:rsidR="00420BF6" w:rsidRPr="00420BF6" w:rsidRDefault="00420BF6" w:rsidP="00420BF6">
      <w:pPr>
        <w:spacing w:after="0" w:line="240" w:lineRule="auto"/>
        <w:textAlignment w:val="baseline"/>
        <w:rPr>
          <w:rFonts w:ascii="Segoe UI" w:eastAsia="Times New Roman" w:hAnsi="Segoe UI" w:cs="Segoe UI"/>
          <w:kern w:val="0"/>
          <w:sz w:val="18"/>
          <w:szCs w:val="18"/>
          <w:lang w:eastAsia="en-GB"/>
          <w14:ligatures w14:val="none"/>
        </w:rPr>
      </w:pPr>
      <w:r w:rsidRPr="00420BF6">
        <w:rPr>
          <w:rFonts w:ascii="Arial" w:eastAsia="Times New Roman" w:hAnsi="Arial" w:cs="Arial"/>
          <w:color w:val="2F5496"/>
          <w:kern w:val="0"/>
          <w:sz w:val="24"/>
          <w:szCs w:val="24"/>
          <w:lang w:eastAsia="en-GB"/>
          <w14:ligatures w14:val="none"/>
        </w:rPr>
        <w:t> </w:t>
      </w:r>
    </w:p>
    <w:p w14:paraId="2B7E34E7" w14:textId="77777777" w:rsidR="00420BF6" w:rsidRPr="00420BF6" w:rsidRDefault="00420BF6" w:rsidP="00420BF6">
      <w:pPr>
        <w:spacing w:after="0" w:line="240" w:lineRule="auto"/>
        <w:textAlignment w:val="baseline"/>
        <w:rPr>
          <w:rFonts w:ascii="Segoe UI" w:eastAsia="Times New Roman" w:hAnsi="Segoe UI" w:cs="Segoe UI"/>
          <w:kern w:val="0"/>
          <w:sz w:val="18"/>
          <w:szCs w:val="18"/>
          <w:lang w:eastAsia="en-GB"/>
          <w14:ligatures w14:val="none"/>
        </w:rPr>
      </w:pPr>
      <w:r w:rsidRPr="00420BF6">
        <w:rPr>
          <w:rFonts w:ascii="Arial" w:eastAsia="Times New Roman" w:hAnsi="Arial" w:cs="Arial"/>
          <w:color w:val="2F5496"/>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20BF6" w:rsidRPr="00420BF6" w14:paraId="21023777" w14:textId="77777777">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23C03D73"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Working Arrangements</w:t>
            </w:r>
            <w:r w:rsidRPr="00420BF6">
              <w:rPr>
                <w:rFonts w:ascii="Arial" w:eastAsia="Times New Roman" w:hAnsi="Arial" w:cs="Arial"/>
                <w:color w:val="FFFFFF"/>
                <w:kern w:val="0"/>
                <w:sz w:val="24"/>
                <w:szCs w:val="24"/>
                <w:lang w:eastAsia="en-GB"/>
                <w14:ligatures w14:val="none"/>
              </w:rPr>
              <w:t> </w:t>
            </w:r>
          </w:p>
        </w:tc>
      </w:tr>
      <w:tr w:rsidR="00420BF6" w:rsidRPr="00420BF6" w14:paraId="206C5BD8" w14:textId="77777777">
        <w:trPr>
          <w:trHeight w:val="300"/>
        </w:trPr>
        <w:tc>
          <w:tcPr>
            <w:tcW w:w="10515" w:type="dxa"/>
            <w:tcBorders>
              <w:top w:val="single" w:sz="6" w:space="0" w:color="auto"/>
              <w:left w:val="single" w:sz="6" w:space="0" w:color="auto"/>
              <w:bottom w:val="single" w:sz="6" w:space="0" w:color="auto"/>
              <w:right w:val="single" w:sz="6" w:space="0" w:color="auto"/>
            </w:tcBorders>
            <w:hideMark/>
          </w:tcPr>
          <w:p w14:paraId="6D16816B" w14:textId="77777777" w:rsidR="00420BF6" w:rsidRPr="00420BF6" w:rsidRDefault="00420BF6" w:rsidP="00420BF6">
            <w:pPr>
              <w:spacing w:after="0" w:line="240" w:lineRule="auto"/>
              <w:ind w:left="720"/>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4"/>
                <w:szCs w:val="24"/>
                <w:lang w:eastAsia="en-GB"/>
                <w14:ligatures w14:val="none"/>
              </w:rPr>
              <w:t> </w:t>
            </w:r>
          </w:p>
          <w:p w14:paraId="136FDC60" w14:textId="77777777" w:rsidR="00420BF6" w:rsidRPr="00420BF6" w:rsidRDefault="00420BF6" w:rsidP="00420BF6">
            <w:pPr>
              <w:numPr>
                <w:ilvl w:val="0"/>
                <w:numId w:val="16"/>
              </w:numPr>
              <w:spacing w:after="0" w:line="240" w:lineRule="auto"/>
              <w:ind w:left="1080" w:firstLine="0"/>
              <w:jc w:val="both"/>
              <w:textAlignment w:val="baseline"/>
              <w:rPr>
                <w:rFonts w:ascii="Calibri" w:eastAsia="Times New Roman" w:hAnsi="Calibri" w:cs="Calibri"/>
                <w:kern w:val="0"/>
                <w:lang w:eastAsia="en-GB"/>
                <w14:ligatures w14:val="none"/>
              </w:rPr>
            </w:pPr>
            <w:r w:rsidRPr="00420BF6">
              <w:rPr>
                <w:rFonts w:ascii="Arial" w:eastAsia="Times New Roman" w:hAnsi="Arial" w:cs="Arial"/>
                <w:color w:val="000000"/>
                <w:kern w:val="0"/>
                <w:sz w:val="24"/>
                <w:szCs w:val="24"/>
                <w:lang w:eastAsia="en-GB"/>
                <w14:ligatures w14:val="none"/>
              </w:rPr>
              <w:t>The post is not</w:t>
            </w:r>
            <w:r w:rsidRPr="00420BF6">
              <w:rPr>
                <w:rFonts w:ascii="Arial" w:eastAsia="Times New Roman" w:hAnsi="Arial" w:cs="Arial"/>
                <w:i/>
                <w:iCs/>
                <w:color w:val="000000"/>
                <w:kern w:val="0"/>
                <w:sz w:val="24"/>
                <w:szCs w:val="24"/>
                <w:lang w:eastAsia="en-GB"/>
                <w14:ligatures w14:val="none"/>
              </w:rPr>
              <w:t> </w:t>
            </w:r>
            <w:r w:rsidRPr="00420BF6">
              <w:rPr>
                <w:rFonts w:ascii="Arial" w:eastAsia="Times New Roman" w:hAnsi="Arial" w:cs="Arial"/>
                <w:color w:val="000000"/>
                <w:kern w:val="0"/>
                <w:sz w:val="24"/>
                <w:szCs w:val="24"/>
                <w:lang w:eastAsia="en-GB"/>
                <w14:ligatures w14:val="none"/>
              </w:rPr>
              <w:t>politically restricted. </w:t>
            </w:r>
          </w:p>
          <w:p w14:paraId="4565F95C" w14:textId="77777777" w:rsidR="00420BF6" w:rsidRPr="00420BF6" w:rsidRDefault="00420BF6" w:rsidP="00420BF6">
            <w:pPr>
              <w:numPr>
                <w:ilvl w:val="0"/>
                <w:numId w:val="17"/>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kern w:val="0"/>
                <w:sz w:val="24"/>
                <w:szCs w:val="24"/>
                <w:lang w:eastAsia="en-GB"/>
                <w14:ligatures w14:val="none"/>
              </w:rPr>
              <w:t>Contractual base as detailed on contract, but you are able to work on a flexible basis in line with our Agile Working Policy [add link].  </w:t>
            </w:r>
          </w:p>
          <w:p w14:paraId="741C17E2" w14:textId="77777777" w:rsidR="00420BF6" w:rsidRPr="00420BF6" w:rsidRDefault="00420BF6" w:rsidP="00420BF6">
            <w:pPr>
              <w:numPr>
                <w:ilvl w:val="0"/>
                <w:numId w:val="18"/>
              </w:numPr>
              <w:spacing w:after="0" w:line="240" w:lineRule="auto"/>
              <w:ind w:left="1080" w:firstLine="0"/>
              <w:jc w:val="both"/>
              <w:textAlignment w:val="baseline"/>
              <w:rPr>
                <w:rFonts w:ascii="Arial" w:eastAsia="Times New Roman" w:hAnsi="Arial" w:cs="Arial"/>
                <w:kern w:val="0"/>
                <w:sz w:val="24"/>
                <w:szCs w:val="24"/>
                <w:lang w:eastAsia="en-GB"/>
                <w14:ligatures w14:val="none"/>
              </w:rPr>
            </w:pPr>
            <w:r w:rsidRPr="00420BF6">
              <w:rPr>
                <w:rFonts w:ascii="Arial" w:eastAsia="Times New Roman" w:hAnsi="Arial" w:cs="Arial"/>
                <w:kern w:val="0"/>
                <w:sz w:val="24"/>
                <w:szCs w:val="24"/>
                <w:lang w:eastAsia="en-GB"/>
                <w14:ligatures w14:val="none"/>
              </w:rPr>
              <w:t>Able to travel across the county and work from various office locations within the county. </w:t>
            </w:r>
          </w:p>
          <w:p w14:paraId="74CD34A8" w14:textId="77777777" w:rsidR="00420BF6" w:rsidRPr="00420BF6" w:rsidRDefault="00420BF6" w:rsidP="00420BF6">
            <w:pPr>
              <w:spacing w:after="0" w:line="240" w:lineRule="auto"/>
              <w:ind w:left="720"/>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4"/>
                <w:szCs w:val="24"/>
                <w:lang w:eastAsia="en-GB"/>
                <w14:ligatures w14:val="none"/>
              </w:rPr>
              <w:t> </w:t>
            </w:r>
          </w:p>
          <w:p w14:paraId="7F69FF19"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color w:val="000000"/>
                <w:kern w:val="0"/>
                <w:sz w:val="24"/>
                <w:szCs w:val="24"/>
                <w:lang w:eastAsia="en-GB"/>
                <w14:ligatures w14:val="none"/>
              </w:rPr>
              <w:t> </w:t>
            </w:r>
          </w:p>
        </w:tc>
      </w:tr>
      <w:tr w:rsidR="00420BF6" w:rsidRPr="00420BF6" w14:paraId="054FEA78" w14:textId="77777777">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780C2763"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b/>
                <w:bCs/>
                <w:color w:val="FFFFFF"/>
                <w:kern w:val="0"/>
                <w:sz w:val="24"/>
                <w:szCs w:val="24"/>
                <w:lang w:eastAsia="en-GB"/>
                <w14:ligatures w14:val="none"/>
              </w:rPr>
              <w:t>Health and Safety at Work [Completed by service lead]</w:t>
            </w:r>
            <w:r w:rsidRPr="00420BF6">
              <w:rPr>
                <w:rFonts w:ascii="Arial" w:eastAsia="Times New Roman" w:hAnsi="Arial" w:cs="Arial"/>
                <w:color w:val="FFFFFF"/>
                <w:kern w:val="0"/>
                <w:sz w:val="24"/>
                <w:szCs w:val="24"/>
                <w:lang w:eastAsia="en-GB"/>
                <w14:ligatures w14:val="none"/>
              </w:rPr>
              <w:t>  </w:t>
            </w:r>
          </w:p>
        </w:tc>
      </w:tr>
      <w:tr w:rsidR="00420BF6" w:rsidRPr="00420BF6" w14:paraId="635DA6A4" w14:textId="77777777">
        <w:trPr>
          <w:trHeight w:val="300"/>
        </w:trPr>
        <w:tc>
          <w:tcPr>
            <w:tcW w:w="10515" w:type="dxa"/>
            <w:tcBorders>
              <w:top w:val="single" w:sz="6" w:space="0" w:color="auto"/>
              <w:left w:val="single" w:sz="6" w:space="0" w:color="auto"/>
              <w:bottom w:val="single" w:sz="6" w:space="0" w:color="auto"/>
              <w:right w:val="single" w:sz="6" w:space="0" w:color="auto"/>
            </w:tcBorders>
            <w:hideMark/>
          </w:tcPr>
          <w:p w14:paraId="65E2A77A"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4"/>
                <w:szCs w:val="24"/>
                <w:lang w:eastAsia="en-GB"/>
                <w14:ligatures w14:val="none"/>
              </w:rPr>
              <w:t> </w:t>
            </w:r>
          </w:p>
          <w:p w14:paraId="433FE1C4"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4"/>
                <w:szCs w:val="24"/>
                <w:lang w:eastAsia="en-GB"/>
                <w14:ligatures w14:val="none"/>
              </w:rPr>
              <w:t>All employees have responsibilities for health and safety – both for themselves, colleagues and the people we work with.   </w:t>
            </w:r>
          </w:p>
          <w:p w14:paraId="04C4EC01"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4"/>
                <w:szCs w:val="24"/>
                <w:lang w:eastAsia="en-GB"/>
                <w14:ligatures w14:val="none"/>
              </w:rPr>
              <w:t>  </w:t>
            </w:r>
          </w:p>
          <w:p w14:paraId="119EA700"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4"/>
                <w:szCs w:val="24"/>
                <w:lang w:eastAsia="en-GB"/>
                <w14:ligatures w14:val="none"/>
              </w:rPr>
              <w:t>The potential significant hazard(s) and risk(s) for this post are identified below (those ticked).  </w:t>
            </w:r>
          </w:p>
          <w:p w14:paraId="0E796D2A" w14:textId="77777777" w:rsidR="00420BF6" w:rsidRPr="00420BF6" w:rsidRDefault="00420BF6" w:rsidP="00420BF6">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  </w:t>
            </w:r>
          </w:p>
        </w:tc>
      </w:tr>
    </w:tbl>
    <w:p w14:paraId="1ACEDF3C" w14:textId="77777777" w:rsidR="00420BF6" w:rsidRPr="00420BF6" w:rsidRDefault="00420BF6" w:rsidP="00420BF6">
      <w:pPr>
        <w:spacing w:after="0" w:line="240" w:lineRule="auto"/>
        <w:textAlignment w:val="baseline"/>
        <w:rPr>
          <w:rFonts w:ascii="Segoe UI" w:eastAsia="Times New Roman" w:hAnsi="Segoe UI" w:cs="Segoe UI"/>
          <w:kern w:val="0"/>
          <w:sz w:val="18"/>
          <w:szCs w:val="18"/>
          <w:lang w:eastAsia="en-GB"/>
          <w14:ligatures w14:val="none"/>
        </w:rPr>
      </w:pPr>
      <w:r w:rsidRPr="00420BF6">
        <w:rPr>
          <w:rFonts w:ascii="Arial" w:eastAsia="Times New Roman" w:hAnsi="Arial" w:cs="Arial"/>
          <w:kern w:val="0"/>
          <w:sz w:val="20"/>
          <w:szCs w:val="20"/>
          <w:lang w:eastAsia="en-GB"/>
          <w14:ligatures w14:val="none"/>
        </w:rPr>
        <w:t>  </w:t>
      </w:r>
    </w:p>
    <w:p w14:paraId="0D56CBBB" w14:textId="77777777" w:rsidR="00420BF6" w:rsidRPr="00420BF6" w:rsidRDefault="00420BF6" w:rsidP="00420BF6">
      <w:pPr>
        <w:spacing w:after="0" w:line="240" w:lineRule="auto"/>
        <w:textAlignment w:val="baseline"/>
        <w:rPr>
          <w:rFonts w:ascii="Segoe UI" w:eastAsia="Times New Roman" w:hAnsi="Segoe UI" w:cs="Segoe UI"/>
          <w:kern w:val="0"/>
          <w:sz w:val="18"/>
          <w:szCs w:val="18"/>
          <w:lang w:eastAsia="en-GB"/>
          <w14:ligatures w14:val="none"/>
        </w:rPr>
      </w:pPr>
      <w:r w:rsidRPr="00420BF6">
        <w:rPr>
          <w:rFonts w:ascii="Arial" w:eastAsia="Times New Roman" w:hAnsi="Arial" w:cs="Arial"/>
          <w:kern w:val="0"/>
          <w:sz w:val="18"/>
          <w:szCs w:val="1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3681"/>
        <w:gridCol w:w="500"/>
        <w:gridCol w:w="4329"/>
      </w:tblGrid>
      <w:tr w:rsidR="00420BF6" w:rsidRPr="00420BF6" w14:paraId="35A00F87"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55D26A9F"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lastRenderedPageBreak/>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04513D9E"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Provision of personal care on a regular basis  </w:t>
            </w:r>
          </w:p>
        </w:tc>
        <w:tc>
          <w:tcPr>
            <w:tcW w:w="585" w:type="dxa"/>
            <w:tcBorders>
              <w:top w:val="single" w:sz="6" w:space="0" w:color="BFBFBF"/>
              <w:left w:val="single" w:sz="6" w:space="0" w:color="BFBFBF"/>
              <w:bottom w:val="single" w:sz="6" w:space="0" w:color="BFBFBF"/>
              <w:right w:val="single" w:sz="6" w:space="0" w:color="BFBFBF"/>
            </w:tcBorders>
            <w:hideMark/>
          </w:tcPr>
          <w:p w14:paraId="3BB5806F"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3D0CF858"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Driving HGV or LGV for work  </w:t>
            </w:r>
          </w:p>
        </w:tc>
      </w:tr>
      <w:tr w:rsidR="00420BF6" w:rsidRPr="00420BF6" w14:paraId="23A98079"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5880736D"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52D8FE14"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Regular manual handling (which includes assisting, manoeuvring, pushing and pulling) of people (including pupils) or objects  </w:t>
            </w:r>
          </w:p>
        </w:tc>
        <w:tc>
          <w:tcPr>
            <w:tcW w:w="585" w:type="dxa"/>
            <w:tcBorders>
              <w:top w:val="single" w:sz="6" w:space="0" w:color="BFBFBF"/>
              <w:left w:val="single" w:sz="6" w:space="0" w:color="BFBFBF"/>
              <w:bottom w:val="single" w:sz="6" w:space="0" w:color="BFBFBF"/>
              <w:right w:val="single" w:sz="6" w:space="0" w:color="BFBFBF"/>
            </w:tcBorders>
            <w:hideMark/>
          </w:tcPr>
          <w:p w14:paraId="69982B2A"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0DBCEBAA"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Any other frequent driving or prolonged driving at work activities (e.g. long journeys driving own private vehicle or a council vehicle for work purposes)  </w:t>
            </w:r>
          </w:p>
        </w:tc>
      </w:tr>
      <w:tr w:rsidR="00420BF6" w:rsidRPr="00420BF6" w14:paraId="0A5FD03E"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38B25FC6"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2E110327"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Working at height/ using ladders on a regular/ repetitive basis  </w:t>
            </w:r>
          </w:p>
        </w:tc>
        <w:tc>
          <w:tcPr>
            <w:tcW w:w="585" w:type="dxa"/>
            <w:tcBorders>
              <w:top w:val="single" w:sz="6" w:space="0" w:color="BFBFBF"/>
              <w:left w:val="single" w:sz="6" w:space="0" w:color="BFBFBF"/>
              <w:bottom w:val="single" w:sz="6" w:space="0" w:color="BFBFBF"/>
              <w:right w:val="single" w:sz="6" w:space="0" w:color="BFBFBF"/>
            </w:tcBorders>
            <w:hideMark/>
          </w:tcPr>
          <w:p w14:paraId="5DB2A8F0"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2A07DAC0"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Restricted postural change – prolonged sitting  </w:t>
            </w:r>
          </w:p>
        </w:tc>
      </w:tr>
      <w:tr w:rsidR="00420BF6" w:rsidRPr="00420BF6" w14:paraId="0A6D2D8F"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18C4A1DC"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4A822566"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Lone working on a regular basis  </w:t>
            </w:r>
          </w:p>
        </w:tc>
        <w:tc>
          <w:tcPr>
            <w:tcW w:w="585" w:type="dxa"/>
            <w:tcBorders>
              <w:top w:val="single" w:sz="6" w:space="0" w:color="BFBFBF"/>
              <w:left w:val="single" w:sz="6" w:space="0" w:color="BFBFBF"/>
              <w:bottom w:val="single" w:sz="6" w:space="0" w:color="BFBFBF"/>
              <w:right w:val="single" w:sz="6" w:space="0" w:color="BFBFBF"/>
            </w:tcBorders>
            <w:hideMark/>
          </w:tcPr>
          <w:p w14:paraId="7DE1A7E5"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54F30755"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Restricted postural change – prolonged standing  </w:t>
            </w:r>
          </w:p>
        </w:tc>
      </w:tr>
      <w:tr w:rsidR="00420BF6" w:rsidRPr="00420BF6" w14:paraId="7B549790"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19798D16"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67263911"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Night work  </w:t>
            </w:r>
          </w:p>
        </w:tc>
        <w:tc>
          <w:tcPr>
            <w:tcW w:w="585" w:type="dxa"/>
            <w:tcBorders>
              <w:top w:val="single" w:sz="6" w:space="0" w:color="BFBFBF"/>
              <w:left w:val="single" w:sz="6" w:space="0" w:color="BFBFBF"/>
              <w:bottom w:val="single" w:sz="6" w:space="0" w:color="BFBFBF"/>
              <w:right w:val="single" w:sz="6" w:space="0" w:color="BFBFBF"/>
            </w:tcBorders>
            <w:hideMark/>
          </w:tcPr>
          <w:p w14:paraId="4068243B"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7642CA37"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Regular/repetitive bending/ squatting/ kneeling/crouching  </w:t>
            </w:r>
          </w:p>
        </w:tc>
      </w:tr>
      <w:tr w:rsidR="00420BF6" w:rsidRPr="00420BF6" w14:paraId="6AEB705E"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77476B9E"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09F8736E"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Rotating shift work  </w:t>
            </w:r>
          </w:p>
        </w:tc>
        <w:tc>
          <w:tcPr>
            <w:tcW w:w="585" w:type="dxa"/>
            <w:tcBorders>
              <w:top w:val="single" w:sz="6" w:space="0" w:color="BFBFBF"/>
              <w:left w:val="single" w:sz="6" w:space="0" w:color="BFBFBF"/>
              <w:bottom w:val="single" w:sz="6" w:space="0" w:color="BFBFBF"/>
              <w:right w:val="single" w:sz="6" w:space="0" w:color="BFBFBF"/>
            </w:tcBorders>
            <w:hideMark/>
          </w:tcPr>
          <w:p w14:paraId="1B70ED26"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56468865"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Manual cleaning/ domestic duties  </w:t>
            </w:r>
          </w:p>
        </w:tc>
      </w:tr>
      <w:tr w:rsidR="00420BF6" w:rsidRPr="00420BF6" w14:paraId="42A93221"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6542B2A5"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4ACC3E61"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Working on/ or near a road  </w:t>
            </w:r>
          </w:p>
        </w:tc>
        <w:tc>
          <w:tcPr>
            <w:tcW w:w="585" w:type="dxa"/>
            <w:tcBorders>
              <w:top w:val="single" w:sz="6" w:space="0" w:color="BFBFBF"/>
              <w:left w:val="single" w:sz="6" w:space="0" w:color="BFBFBF"/>
              <w:bottom w:val="single" w:sz="6" w:space="0" w:color="BFBFBF"/>
              <w:right w:val="single" w:sz="6" w:space="0" w:color="BFBFBF"/>
            </w:tcBorders>
            <w:hideMark/>
          </w:tcPr>
          <w:p w14:paraId="1881F24C"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4C390608"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Regular work outdoors  </w:t>
            </w:r>
          </w:p>
        </w:tc>
      </w:tr>
      <w:tr w:rsidR="00420BF6" w:rsidRPr="00420BF6" w14:paraId="1E9A615F"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6FF4F1EE"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22F21E6A"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Significant use of computers (display screen equipment)  </w:t>
            </w:r>
          </w:p>
        </w:tc>
        <w:tc>
          <w:tcPr>
            <w:tcW w:w="585" w:type="dxa"/>
            <w:tcBorders>
              <w:top w:val="single" w:sz="6" w:space="0" w:color="BFBFBF"/>
              <w:left w:val="single" w:sz="6" w:space="0" w:color="BFBFBF"/>
              <w:bottom w:val="single" w:sz="6" w:space="0" w:color="BFBFBF"/>
              <w:right w:val="single" w:sz="6" w:space="0" w:color="BFBFBF"/>
            </w:tcBorders>
            <w:hideMark/>
          </w:tcPr>
          <w:p w14:paraId="3D85922A"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48451DF0"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 with vulnerable children or vulnerable adults  </w:t>
            </w:r>
          </w:p>
        </w:tc>
      </w:tr>
      <w:tr w:rsidR="00420BF6" w:rsidRPr="00420BF6" w14:paraId="3B460E51"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2396438B"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56A9F0A7"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Undertaking repetitive tasks  </w:t>
            </w:r>
          </w:p>
        </w:tc>
        <w:tc>
          <w:tcPr>
            <w:tcW w:w="585" w:type="dxa"/>
            <w:tcBorders>
              <w:top w:val="single" w:sz="6" w:space="0" w:color="BFBFBF"/>
              <w:left w:val="single" w:sz="6" w:space="0" w:color="BFBFBF"/>
              <w:bottom w:val="single" w:sz="6" w:space="0" w:color="BFBFBF"/>
              <w:right w:val="single" w:sz="6" w:space="0" w:color="BFBFBF"/>
            </w:tcBorders>
            <w:hideMark/>
          </w:tcPr>
          <w:p w14:paraId="5082299B"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2C831193"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Working with challenging behaviours  </w:t>
            </w:r>
          </w:p>
        </w:tc>
      </w:tr>
      <w:tr w:rsidR="00420BF6" w:rsidRPr="00420BF6" w14:paraId="6436EF4F"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09A01212"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5CE1EB71"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Continual telephone use (call centres)  </w:t>
            </w:r>
          </w:p>
        </w:tc>
        <w:tc>
          <w:tcPr>
            <w:tcW w:w="585" w:type="dxa"/>
            <w:tcBorders>
              <w:top w:val="single" w:sz="6" w:space="0" w:color="BFBFBF"/>
              <w:left w:val="single" w:sz="6" w:space="0" w:color="BFBFBF"/>
              <w:bottom w:val="single" w:sz="6" w:space="0" w:color="BFBFBF"/>
              <w:right w:val="single" w:sz="6" w:space="0" w:color="BFBFBF"/>
            </w:tcBorders>
            <w:hideMark/>
          </w:tcPr>
          <w:p w14:paraId="62124303"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71A1B8AE"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Regular work with skin irritants/ allergens  </w:t>
            </w:r>
          </w:p>
        </w:tc>
      </w:tr>
      <w:tr w:rsidR="00420BF6" w:rsidRPr="00420BF6" w14:paraId="20882CA5"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2A878C88"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2D270749"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 requiring hearing protection (exposure to noise above action levels)  </w:t>
            </w:r>
          </w:p>
        </w:tc>
        <w:tc>
          <w:tcPr>
            <w:tcW w:w="585" w:type="dxa"/>
            <w:tcBorders>
              <w:top w:val="single" w:sz="6" w:space="0" w:color="BFBFBF"/>
              <w:left w:val="single" w:sz="6" w:space="0" w:color="BFBFBF"/>
              <w:bottom w:val="single" w:sz="6" w:space="0" w:color="BFBFBF"/>
              <w:right w:val="single" w:sz="6" w:space="0" w:color="BFBFBF"/>
            </w:tcBorders>
            <w:hideMark/>
          </w:tcPr>
          <w:p w14:paraId="4D4F591B"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781A35A0"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Regular work with respiratory irritants/ allergens (exposure to dust, fumes, chemicals, fibres)  </w:t>
            </w:r>
          </w:p>
        </w:tc>
      </w:tr>
      <w:tr w:rsidR="00420BF6" w:rsidRPr="00420BF6" w14:paraId="467D0F59"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2325709D"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6E5DF320"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 requiring respirators or masks  </w:t>
            </w:r>
          </w:p>
        </w:tc>
        <w:tc>
          <w:tcPr>
            <w:tcW w:w="585" w:type="dxa"/>
            <w:tcBorders>
              <w:top w:val="single" w:sz="6" w:space="0" w:color="BFBFBF"/>
              <w:left w:val="single" w:sz="6" w:space="0" w:color="BFBFBF"/>
              <w:bottom w:val="single" w:sz="6" w:space="0" w:color="BFBFBF"/>
              <w:right w:val="single" w:sz="6" w:space="0" w:color="BFBFBF"/>
            </w:tcBorders>
            <w:hideMark/>
          </w:tcPr>
          <w:p w14:paraId="25450664"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6412F63B"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 with vibrating tools/ machinery  </w:t>
            </w:r>
          </w:p>
        </w:tc>
      </w:tr>
      <w:tr w:rsidR="00420BF6" w:rsidRPr="00420BF6" w14:paraId="6654C3B7"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46C2A1F9"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33CCA2BA"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 involving food handling  </w:t>
            </w:r>
          </w:p>
        </w:tc>
        <w:tc>
          <w:tcPr>
            <w:tcW w:w="585" w:type="dxa"/>
            <w:tcBorders>
              <w:top w:val="single" w:sz="6" w:space="0" w:color="BFBFBF"/>
              <w:left w:val="single" w:sz="6" w:space="0" w:color="BFBFBF"/>
              <w:bottom w:val="single" w:sz="6" w:space="0" w:color="BFBFBF"/>
              <w:right w:val="single" w:sz="6" w:space="0" w:color="BFBFBF"/>
            </w:tcBorders>
            <w:hideMark/>
          </w:tcPr>
          <w:p w14:paraId="4C8B882B"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1FF3C838"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Work with waste, refuse  </w:t>
            </w:r>
          </w:p>
        </w:tc>
      </w:tr>
      <w:tr w:rsidR="00420BF6" w:rsidRPr="00420BF6" w14:paraId="3E31598E"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5CE5263C"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4350" w:type="dxa"/>
            <w:tcBorders>
              <w:top w:val="single" w:sz="6" w:space="0" w:color="BFBFBF"/>
              <w:left w:val="single" w:sz="6" w:space="0" w:color="BFBFBF"/>
              <w:bottom w:val="single" w:sz="6" w:space="0" w:color="BFBFBF"/>
              <w:right w:val="single" w:sz="6" w:space="0" w:color="BFBFBF"/>
            </w:tcBorders>
            <w:hideMark/>
          </w:tcPr>
          <w:p w14:paraId="5DF8B512"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Potential exposure to blood or bodily fluids  </w:t>
            </w:r>
          </w:p>
        </w:tc>
        <w:tc>
          <w:tcPr>
            <w:tcW w:w="585" w:type="dxa"/>
            <w:tcBorders>
              <w:top w:val="single" w:sz="6" w:space="0" w:color="BFBFBF"/>
              <w:left w:val="single" w:sz="6" w:space="0" w:color="BFBFBF"/>
              <w:bottom w:val="single" w:sz="6" w:space="0" w:color="BFBFBF"/>
              <w:right w:val="single" w:sz="6" w:space="0" w:color="BFBFBF"/>
            </w:tcBorders>
            <w:hideMark/>
          </w:tcPr>
          <w:p w14:paraId="2947553F" w14:textId="77777777" w:rsidR="00420BF6" w:rsidRPr="00420BF6" w:rsidRDefault="00420BF6" w:rsidP="00420BF6">
            <w:pPr>
              <w:spacing w:after="0" w:line="240" w:lineRule="auto"/>
              <w:ind w:left="330" w:hanging="330"/>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5025" w:type="dxa"/>
            <w:tcBorders>
              <w:top w:val="single" w:sz="6" w:space="0" w:color="BFBFBF"/>
              <w:left w:val="single" w:sz="6" w:space="0" w:color="BFBFBF"/>
              <w:bottom w:val="single" w:sz="6" w:space="0" w:color="BFBFBF"/>
              <w:right w:val="single" w:sz="6" w:space="0" w:color="BFBFBF"/>
            </w:tcBorders>
            <w:hideMark/>
          </w:tcPr>
          <w:p w14:paraId="309E2655"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Face-to-face contact with members of the public  </w:t>
            </w:r>
          </w:p>
        </w:tc>
      </w:tr>
      <w:tr w:rsidR="00420BF6" w:rsidRPr="00420BF6" w14:paraId="5C1144FB" w14:textId="77777777">
        <w:trPr>
          <w:trHeight w:val="330"/>
        </w:trPr>
        <w:tc>
          <w:tcPr>
            <w:tcW w:w="585" w:type="dxa"/>
            <w:tcBorders>
              <w:top w:val="single" w:sz="6" w:space="0" w:color="BFBFBF"/>
              <w:left w:val="single" w:sz="6" w:space="0" w:color="BFBFBF"/>
              <w:bottom w:val="single" w:sz="6" w:space="0" w:color="BFBFBF"/>
              <w:right w:val="single" w:sz="6" w:space="0" w:color="BFBFBF"/>
            </w:tcBorders>
            <w:hideMark/>
          </w:tcPr>
          <w:p w14:paraId="06456BCA"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w:t>
            </w:r>
            <w:r w:rsidRPr="00420BF6">
              <w:rPr>
                <w:rFonts w:ascii="Segoe UI Symbol" w:eastAsia="Times New Roman" w:hAnsi="Segoe UI Symbol" w:cs="Times New Roman"/>
                <w:kern w:val="0"/>
                <w:sz w:val="20"/>
                <w:szCs w:val="20"/>
                <w:lang w:eastAsia="en-GB"/>
                <w14:ligatures w14:val="none"/>
              </w:rPr>
              <w:t>☐</w:t>
            </w:r>
            <w:r w:rsidRPr="00420BF6">
              <w:rPr>
                <w:rFonts w:ascii="Arial" w:eastAsia="Times New Roman" w:hAnsi="Arial" w:cs="Arial"/>
                <w:kern w:val="0"/>
                <w:sz w:val="20"/>
                <w:szCs w:val="20"/>
                <w:lang w:eastAsia="en-GB"/>
                <w14:ligatures w14:val="none"/>
              </w:rPr>
              <w:t>​  </w:t>
            </w:r>
          </w:p>
        </w:tc>
        <w:tc>
          <w:tcPr>
            <w:tcW w:w="9960" w:type="dxa"/>
            <w:gridSpan w:val="3"/>
            <w:tcBorders>
              <w:top w:val="single" w:sz="6" w:space="0" w:color="BFBFBF"/>
              <w:left w:val="single" w:sz="6" w:space="0" w:color="BFBFBF"/>
              <w:bottom w:val="single" w:sz="6" w:space="0" w:color="BFBFBF"/>
              <w:right w:val="single" w:sz="6" w:space="0" w:color="BFBFBF"/>
            </w:tcBorders>
            <w:hideMark/>
          </w:tcPr>
          <w:p w14:paraId="3044D7A3" w14:textId="77777777" w:rsidR="00420BF6" w:rsidRPr="00420BF6" w:rsidRDefault="00420BF6" w:rsidP="00420BF6">
            <w:pPr>
              <w:spacing w:after="0" w:line="240" w:lineRule="auto"/>
              <w:textAlignment w:val="baseline"/>
              <w:rPr>
                <w:rFonts w:ascii="Times New Roman" w:eastAsia="Times New Roman" w:hAnsi="Times New Roman" w:cs="Times New Roman"/>
                <w:kern w:val="0"/>
                <w:sz w:val="24"/>
                <w:szCs w:val="24"/>
                <w:lang w:eastAsia="en-GB"/>
                <w14:ligatures w14:val="none"/>
              </w:rPr>
            </w:pPr>
            <w:r w:rsidRPr="00420BF6">
              <w:rPr>
                <w:rFonts w:ascii="Arial" w:eastAsia="Times New Roman" w:hAnsi="Arial" w:cs="Arial"/>
                <w:kern w:val="0"/>
                <w:sz w:val="20"/>
                <w:szCs w:val="20"/>
                <w:lang w:eastAsia="en-GB"/>
                <w14:ligatures w14:val="none"/>
              </w:rPr>
              <w:t>Other (please specify):   </w:t>
            </w:r>
          </w:p>
        </w:tc>
      </w:tr>
    </w:tbl>
    <w:p w14:paraId="2C35E856" w14:textId="77777777" w:rsidR="00F40395" w:rsidRDefault="00F40395"/>
    <w:sectPr w:rsidR="00F40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3E02"/>
    <w:multiLevelType w:val="multilevel"/>
    <w:tmpl w:val="3B3E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F3F62"/>
    <w:multiLevelType w:val="multilevel"/>
    <w:tmpl w:val="B24E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11E31"/>
    <w:multiLevelType w:val="multilevel"/>
    <w:tmpl w:val="F566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955B67"/>
    <w:multiLevelType w:val="multilevel"/>
    <w:tmpl w:val="8224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F639C"/>
    <w:multiLevelType w:val="multilevel"/>
    <w:tmpl w:val="5D1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B656D0"/>
    <w:multiLevelType w:val="multilevel"/>
    <w:tmpl w:val="5CE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46B8B"/>
    <w:multiLevelType w:val="multilevel"/>
    <w:tmpl w:val="E11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597D41"/>
    <w:multiLevelType w:val="multilevel"/>
    <w:tmpl w:val="CF1E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D51D6C"/>
    <w:multiLevelType w:val="multilevel"/>
    <w:tmpl w:val="F98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03433B"/>
    <w:multiLevelType w:val="multilevel"/>
    <w:tmpl w:val="C7B0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5C3728"/>
    <w:multiLevelType w:val="multilevel"/>
    <w:tmpl w:val="81DE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200256"/>
    <w:multiLevelType w:val="multilevel"/>
    <w:tmpl w:val="67C2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332D83"/>
    <w:multiLevelType w:val="multilevel"/>
    <w:tmpl w:val="5066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326B7C"/>
    <w:multiLevelType w:val="multilevel"/>
    <w:tmpl w:val="878A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30804"/>
    <w:multiLevelType w:val="multilevel"/>
    <w:tmpl w:val="8944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1A4BDF"/>
    <w:multiLevelType w:val="multilevel"/>
    <w:tmpl w:val="BA1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3D5C29"/>
    <w:multiLevelType w:val="multilevel"/>
    <w:tmpl w:val="AFE0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2D6C54"/>
    <w:multiLevelType w:val="multilevel"/>
    <w:tmpl w:val="50C8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6887926">
    <w:abstractNumId w:val="11"/>
  </w:num>
  <w:num w:numId="2" w16cid:durableId="1860468638">
    <w:abstractNumId w:val="1"/>
  </w:num>
  <w:num w:numId="3" w16cid:durableId="1628513659">
    <w:abstractNumId w:val="6"/>
  </w:num>
  <w:num w:numId="4" w16cid:durableId="60906769">
    <w:abstractNumId w:val="4"/>
  </w:num>
  <w:num w:numId="5" w16cid:durableId="638847695">
    <w:abstractNumId w:val="8"/>
  </w:num>
  <w:num w:numId="6" w16cid:durableId="1433427723">
    <w:abstractNumId w:val="14"/>
  </w:num>
  <w:num w:numId="7" w16cid:durableId="1560706507">
    <w:abstractNumId w:val="17"/>
  </w:num>
  <w:num w:numId="8" w16cid:durableId="1831868230">
    <w:abstractNumId w:val="3"/>
  </w:num>
  <w:num w:numId="9" w16cid:durableId="889338390">
    <w:abstractNumId w:val="0"/>
  </w:num>
  <w:num w:numId="10" w16cid:durableId="318271152">
    <w:abstractNumId w:val="2"/>
  </w:num>
  <w:num w:numId="11" w16cid:durableId="1368917483">
    <w:abstractNumId w:val="5"/>
  </w:num>
  <w:num w:numId="12" w16cid:durableId="413480628">
    <w:abstractNumId w:val="9"/>
  </w:num>
  <w:num w:numId="13" w16cid:durableId="1140148770">
    <w:abstractNumId w:val="16"/>
  </w:num>
  <w:num w:numId="14" w16cid:durableId="989216136">
    <w:abstractNumId w:val="10"/>
  </w:num>
  <w:num w:numId="15" w16cid:durableId="318920759">
    <w:abstractNumId w:val="13"/>
  </w:num>
  <w:num w:numId="16" w16cid:durableId="467867621">
    <w:abstractNumId w:val="7"/>
  </w:num>
  <w:num w:numId="17" w16cid:durableId="554775951">
    <w:abstractNumId w:val="12"/>
  </w:num>
  <w:num w:numId="18" w16cid:durableId="1127316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F6"/>
    <w:rsid w:val="00420BF6"/>
    <w:rsid w:val="005F15EC"/>
    <w:rsid w:val="00F40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E09F"/>
  <w15:chartTrackingRefBased/>
  <w15:docId w15:val="{8F5F14C6-3886-4267-A8B0-F2F9BB63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BF6"/>
    <w:rPr>
      <w:rFonts w:eastAsiaTheme="majorEastAsia" w:cstheme="majorBidi"/>
      <w:color w:val="272727" w:themeColor="text1" w:themeTint="D8"/>
    </w:rPr>
  </w:style>
  <w:style w:type="paragraph" w:styleId="Title">
    <w:name w:val="Title"/>
    <w:basedOn w:val="Normal"/>
    <w:next w:val="Normal"/>
    <w:link w:val="TitleChar"/>
    <w:uiPriority w:val="10"/>
    <w:qFormat/>
    <w:rsid w:val="00420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BF6"/>
    <w:pPr>
      <w:spacing w:before="160"/>
      <w:jc w:val="center"/>
    </w:pPr>
    <w:rPr>
      <w:i/>
      <w:iCs/>
      <w:color w:val="404040" w:themeColor="text1" w:themeTint="BF"/>
    </w:rPr>
  </w:style>
  <w:style w:type="character" w:customStyle="1" w:styleId="QuoteChar">
    <w:name w:val="Quote Char"/>
    <w:basedOn w:val="DefaultParagraphFont"/>
    <w:link w:val="Quote"/>
    <w:uiPriority w:val="29"/>
    <w:rsid w:val="00420BF6"/>
    <w:rPr>
      <w:i/>
      <w:iCs/>
      <w:color w:val="404040" w:themeColor="text1" w:themeTint="BF"/>
    </w:rPr>
  </w:style>
  <w:style w:type="paragraph" w:styleId="ListParagraph">
    <w:name w:val="List Paragraph"/>
    <w:basedOn w:val="Normal"/>
    <w:uiPriority w:val="34"/>
    <w:qFormat/>
    <w:rsid w:val="00420BF6"/>
    <w:pPr>
      <w:ind w:left="720"/>
      <w:contextualSpacing/>
    </w:pPr>
  </w:style>
  <w:style w:type="character" w:styleId="IntenseEmphasis">
    <w:name w:val="Intense Emphasis"/>
    <w:basedOn w:val="DefaultParagraphFont"/>
    <w:uiPriority w:val="21"/>
    <w:qFormat/>
    <w:rsid w:val="00420BF6"/>
    <w:rPr>
      <w:i/>
      <w:iCs/>
      <w:color w:val="0F4761" w:themeColor="accent1" w:themeShade="BF"/>
    </w:rPr>
  </w:style>
  <w:style w:type="paragraph" w:styleId="IntenseQuote">
    <w:name w:val="Intense Quote"/>
    <w:basedOn w:val="Normal"/>
    <w:next w:val="Normal"/>
    <w:link w:val="IntenseQuoteChar"/>
    <w:uiPriority w:val="30"/>
    <w:qFormat/>
    <w:rsid w:val="00420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BF6"/>
    <w:rPr>
      <w:i/>
      <w:iCs/>
      <w:color w:val="0F4761" w:themeColor="accent1" w:themeShade="BF"/>
    </w:rPr>
  </w:style>
  <w:style w:type="character" w:styleId="IntenseReference">
    <w:name w:val="Intense Reference"/>
    <w:basedOn w:val="DefaultParagraphFont"/>
    <w:uiPriority w:val="32"/>
    <w:qFormat/>
    <w:rsid w:val="00420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Dancer, Maggie - Oxfordshire County Council</dc:creator>
  <cp:keywords/>
  <dc:description/>
  <cp:lastModifiedBy>Dancer, Maggie - Oxfordshire County Council</cp:lastModifiedBy>
  <cp:revision>1</cp:revision>
  <dcterms:created xsi:type="dcterms:W3CDTF">2026-02-27T15:52:00Z</dcterms:created>
  <dcterms:modified xsi:type="dcterms:W3CDTF">2026-02-27T15:52:00Z</dcterms:modified>
</cp:coreProperties>
</file>