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26688E5" w:rsidR="00114762" w:rsidRPr="009F0647" w:rsidRDefault="00F750F3" w:rsidP="00DD3ED0">
            <w:pPr>
              <w:rPr>
                <w:rFonts w:ascii="Arial" w:hAnsi="Arial" w:cs="Arial"/>
              </w:rPr>
            </w:pPr>
            <w:r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49D3B8FA" w:rsidR="00DD3ED0" w:rsidRDefault="00794D8B" w:rsidP="00DD3ED0">
            <w:pPr>
              <w:rPr>
                <w:rFonts w:ascii="Arial" w:hAnsi="Arial" w:cs="Arial"/>
              </w:rPr>
            </w:pPr>
            <w:r w:rsidRPr="00794D8B">
              <w:rPr>
                <w:rFonts w:ascii="Arial" w:hAnsi="Arial" w:cs="Arial"/>
              </w:rPr>
              <w:t>£2</w:t>
            </w:r>
            <w:r w:rsidR="00612996">
              <w:rPr>
                <w:rFonts w:ascii="Arial" w:hAnsi="Arial" w:cs="Arial"/>
              </w:rPr>
              <w:t xml:space="preserve">4,702 - </w:t>
            </w:r>
            <w:r w:rsidRPr="00794D8B">
              <w:rPr>
                <w:rFonts w:ascii="Arial" w:hAnsi="Arial" w:cs="Arial"/>
              </w:rPr>
              <w:t xml:space="preserve"> £2</w:t>
            </w:r>
            <w:r w:rsidR="00612996">
              <w:rPr>
                <w:rFonts w:ascii="Arial" w:hAnsi="Arial" w:cs="Arial"/>
              </w:rPr>
              <w:t>6,873</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8E4F7BF" w14:textId="1F812EA2" w:rsidR="00794D8B" w:rsidRDefault="00612996" w:rsidP="00794D8B">
            <w:pPr>
              <w:rPr>
                <w:rFonts w:ascii="Arial" w:hAnsi="Arial" w:cs="Arial"/>
              </w:rPr>
            </w:pPr>
            <w:r>
              <w:rPr>
                <w:rFonts w:ascii="Arial" w:hAnsi="Arial" w:cs="Arial"/>
              </w:rPr>
              <w:t xml:space="preserve">Casual Hours </w:t>
            </w:r>
          </w:p>
          <w:p w14:paraId="2DD8AF51" w14:textId="6F711333" w:rsidR="00335389" w:rsidRDefault="00335389" w:rsidP="00794D8B">
            <w:pPr>
              <w:rPr>
                <w:rFonts w:ascii="Arial" w:hAnsi="Arial" w:cs="Arial"/>
              </w:rPr>
            </w:pPr>
          </w:p>
          <w:p w14:paraId="0D75CB0F" w14:textId="77777777" w:rsidR="00794D8B" w:rsidRDefault="00794D8B" w:rsidP="00794D8B">
            <w:pPr>
              <w:rPr>
                <w:rFonts w:ascii="Arial" w:hAnsi="Arial" w:cs="Arial"/>
              </w:rPr>
            </w:pPr>
          </w:p>
          <w:p w14:paraId="7976320E" w14:textId="77777777" w:rsidR="00794D8B" w:rsidRDefault="00794D8B" w:rsidP="00794D8B">
            <w:pPr>
              <w:rPr>
                <w:rFonts w:ascii="Arial" w:hAnsi="Arial" w:cs="Arial"/>
              </w:rPr>
            </w:pPr>
          </w:p>
          <w:p w14:paraId="2BD75AFE" w14:textId="0C746ED6" w:rsidR="00794D8B" w:rsidRPr="00F750F3" w:rsidRDefault="00794D8B" w:rsidP="00794D8B">
            <w:pPr>
              <w:rPr>
                <w:rFonts w:ascii="Arial" w:hAnsi="Arial" w:cs="Arial"/>
              </w:rPr>
            </w:pPr>
            <w:r w:rsidRPr="00794D8B">
              <w:rPr>
                <w:rFonts w:ascii="Arial" w:hAnsi="Arial" w:cs="Arial"/>
              </w:rPr>
              <w:t>We are open to discussions about flexible working.</w:t>
            </w: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4C746F6D" w:rsidR="00114762" w:rsidRDefault="00DD3ED0" w:rsidP="00DD3ED0">
            <w:r>
              <w:rPr>
                <w:rFonts w:ascii="Arial" w:hAnsi="Arial" w:cs="Arial"/>
              </w:rPr>
              <w:t xml:space="preserve">The primary location is usually </w:t>
            </w:r>
            <w:r w:rsidR="00294AB9">
              <w:rPr>
                <w:rFonts w:ascii="Arial" w:hAnsi="Arial" w:cs="Arial"/>
              </w:rPr>
              <w:t>Witney</w:t>
            </w:r>
            <w:r w:rsidR="00F750F3">
              <w:rPr>
                <w:rFonts w:ascii="Arial" w:hAnsi="Arial" w:cs="Arial"/>
              </w:rPr>
              <w:t xml:space="preserve"> Community Support Service</w:t>
            </w:r>
            <w:r w:rsidRPr="00471DAB">
              <w:rPr>
                <w:rFonts w:ascii="Arial" w:hAnsi="Arial" w:cs="Arial"/>
              </w:rPr>
              <w:t xml:space="preserve"> </w:t>
            </w:r>
            <w:r>
              <w:rPr>
                <w:rFonts w:ascii="Arial" w:hAnsi="Arial" w:cs="Arial"/>
              </w:rPr>
              <w:t xml:space="preserve">and you will be required to work from this location </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lastRenderedPageBreak/>
              <w:t xml:space="preserve">work in accordance with the Corporate CHOICE values and competency framework </w:t>
            </w:r>
          </w:p>
          <w:p w14:paraId="38DECA09" w14:textId="77777777" w:rsidR="003D0FCC" w:rsidRDefault="003D0FCC" w:rsidP="003D0FCC">
            <w:pPr>
              <w:rPr>
                <w:noProof/>
              </w:rPr>
            </w:pPr>
            <w:r>
              <w:rPr>
                <w:noProof/>
              </w:rPr>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57A8285" w14:textId="0ED00E76" w:rsidR="00B70ABA" w:rsidRDefault="00B70ABA" w:rsidP="00B70ABA">
            <w:pPr>
              <w:rPr>
                <w:rFonts w:ascii="Arial" w:hAnsi="Arial" w:cs="Arial"/>
                <w:b/>
                <w:bCs/>
                <w:noProof/>
              </w:rPr>
            </w:pPr>
            <w:r w:rsidRPr="00A6240C">
              <w:rPr>
                <w:rFonts w:ascii="Arial" w:hAnsi="Arial" w:cs="Arial"/>
                <w:b/>
                <w:bCs/>
                <w:noProof/>
              </w:rPr>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lastRenderedPageBreak/>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14AEDEEC" w14:textId="77777777" w:rsidR="00A6373F" w:rsidRPr="00A6373F" w:rsidRDefault="00A6373F" w:rsidP="00B70ABA">
            <w:pPr>
              <w:rPr>
                <w:rFonts w:ascii="Arial" w:hAnsi="Arial" w:cs="Arial"/>
                <w:noProof/>
              </w:rPr>
            </w:pPr>
          </w:p>
          <w:p w14:paraId="18BBF35A" w14:textId="6550E802" w:rsidR="00A6373F" w:rsidRPr="00A6373F" w:rsidRDefault="00A6373F" w:rsidP="00B70ABA">
            <w:pPr>
              <w:rPr>
                <w:rFonts w:ascii="Arial" w:hAnsi="Arial" w:cs="Arial"/>
                <w:noProof/>
              </w:rPr>
            </w:pPr>
            <w:r w:rsidRPr="00A6373F">
              <w:rPr>
                <w:rStyle w:val="ui-provider"/>
              </w:rPr>
              <w:t>You’ll be part of an inclusive culture that values diversity, rewards integrity, that encourages you to fulfil your potential. We welcome candidates from all backgrounds and particularly from sections of the community who are currently underrepresented within our industry, ethnic minorities, including women, care leavers, people with disabilities, LGBTQ and people who were born overseas</w:t>
            </w:r>
            <w:r>
              <w:rPr>
                <w:rStyle w:val="ui-provider"/>
              </w:rPr>
              <w:t>.</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00656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00656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006565"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00656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00656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9B7" w14:textId="77777777" w:rsidR="00794D8B" w:rsidRDefault="00794D8B" w:rsidP="007A55C8">
      <w:r>
        <w:separator/>
      </w:r>
    </w:p>
  </w:endnote>
  <w:endnote w:type="continuationSeparator" w:id="0">
    <w:p w14:paraId="4FBFC1CC" w14:textId="77777777" w:rsidR="00794D8B" w:rsidRDefault="00794D8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DF733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DF733F" w:rsidRDefault="00DF733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DF733F" w:rsidRPr="0006028D" w:rsidRDefault="00DF733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DF733F"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DF733F" w:rsidRDefault="00DF733F" w:rsidP="00FC4D27">
    <w:pPr>
      <w:pStyle w:val="Footer"/>
      <w:ind w:firstLine="2880"/>
      <w:jc w:val="right"/>
      <w:rPr>
        <w:rFonts w:ascii="Arial" w:hAnsi="Arial" w:cs="Arial"/>
        <w:noProof/>
      </w:rPr>
    </w:pPr>
  </w:p>
  <w:p w14:paraId="099ED7BA" w14:textId="77777777" w:rsidR="00DF733F" w:rsidRDefault="00DF733F" w:rsidP="00FC4D27">
    <w:pPr>
      <w:pStyle w:val="Footer"/>
      <w:ind w:firstLine="2880"/>
      <w:jc w:val="right"/>
      <w:rPr>
        <w:rFonts w:ascii="Arial" w:hAnsi="Arial" w:cs="Arial"/>
        <w:noProof/>
      </w:rPr>
    </w:pPr>
  </w:p>
  <w:p w14:paraId="2DC6BAC9" w14:textId="77777777" w:rsidR="00DF733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43F7" w14:textId="77777777" w:rsidR="00794D8B" w:rsidRDefault="00794D8B" w:rsidP="007A55C8">
      <w:r>
        <w:separator/>
      </w:r>
    </w:p>
  </w:footnote>
  <w:footnote w:type="continuationSeparator" w:id="0">
    <w:p w14:paraId="00EEE67E" w14:textId="77777777" w:rsidR="00794D8B" w:rsidRDefault="00794D8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DF733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37149055">
    <w:abstractNumId w:val="14"/>
  </w:num>
  <w:num w:numId="2" w16cid:durableId="1819302966">
    <w:abstractNumId w:val="43"/>
  </w:num>
  <w:num w:numId="3" w16cid:durableId="1966616070">
    <w:abstractNumId w:val="30"/>
  </w:num>
  <w:num w:numId="4" w16cid:durableId="1797874331">
    <w:abstractNumId w:val="25"/>
  </w:num>
  <w:num w:numId="5" w16cid:durableId="2102599374">
    <w:abstractNumId w:val="24"/>
  </w:num>
  <w:num w:numId="6" w16cid:durableId="2120560574">
    <w:abstractNumId w:val="28"/>
  </w:num>
  <w:num w:numId="7" w16cid:durableId="1223902448">
    <w:abstractNumId w:val="8"/>
  </w:num>
  <w:num w:numId="8" w16cid:durableId="1534222092">
    <w:abstractNumId w:val="23"/>
  </w:num>
  <w:num w:numId="9" w16cid:durableId="1910453680">
    <w:abstractNumId w:val="7"/>
  </w:num>
  <w:num w:numId="10" w16cid:durableId="1951744486">
    <w:abstractNumId w:val="32"/>
  </w:num>
  <w:num w:numId="11" w16cid:durableId="1592085755">
    <w:abstractNumId w:val="10"/>
  </w:num>
  <w:num w:numId="12" w16cid:durableId="1832286945">
    <w:abstractNumId w:val="0"/>
  </w:num>
  <w:num w:numId="13" w16cid:durableId="656807350">
    <w:abstractNumId w:val="39"/>
  </w:num>
  <w:num w:numId="14" w16cid:durableId="1528331543">
    <w:abstractNumId w:val="16"/>
  </w:num>
  <w:num w:numId="15" w16cid:durableId="1695493027">
    <w:abstractNumId w:val="36"/>
  </w:num>
  <w:num w:numId="16" w16cid:durableId="1287392888">
    <w:abstractNumId w:val="41"/>
  </w:num>
  <w:num w:numId="17" w16cid:durableId="312637898">
    <w:abstractNumId w:val="40"/>
  </w:num>
  <w:num w:numId="18" w16cid:durableId="470444907">
    <w:abstractNumId w:val="42"/>
  </w:num>
  <w:num w:numId="19" w16cid:durableId="1768848130">
    <w:abstractNumId w:val="27"/>
  </w:num>
  <w:num w:numId="20" w16cid:durableId="588464435">
    <w:abstractNumId w:val="34"/>
  </w:num>
  <w:num w:numId="21" w16cid:durableId="1687511570">
    <w:abstractNumId w:val="21"/>
  </w:num>
  <w:num w:numId="22" w16cid:durableId="1620144163">
    <w:abstractNumId w:val="4"/>
  </w:num>
  <w:num w:numId="23" w16cid:durableId="897671911">
    <w:abstractNumId w:val="29"/>
  </w:num>
  <w:num w:numId="24" w16cid:durableId="720860396">
    <w:abstractNumId w:val="31"/>
  </w:num>
  <w:num w:numId="25" w16cid:durableId="591200499">
    <w:abstractNumId w:val="45"/>
  </w:num>
  <w:num w:numId="26" w16cid:durableId="896430805">
    <w:abstractNumId w:val="35"/>
  </w:num>
  <w:num w:numId="27" w16cid:durableId="2106488690">
    <w:abstractNumId w:val="38"/>
  </w:num>
  <w:num w:numId="28" w16cid:durableId="699745236">
    <w:abstractNumId w:val="12"/>
  </w:num>
  <w:num w:numId="29" w16cid:durableId="1469317175">
    <w:abstractNumId w:val="11"/>
  </w:num>
  <w:num w:numId="30" w16cid:durableId="1598827232">
    <w:abstractNumId w:val="5"/>
  </w:num>
  <w:num w:numId="31" w16cid:durableId="476073168">
    <w:abstractNumId w:val="9"/>
  </w:num>
  <w:num w:numId="32" w16cid:durableId="2030334517">
    <w:abstractNumId w:val="3"/>
  </w:num>
  <w:num w:numId="33" w16cid:durableId="63332489">
    <w:abstractNumId w:val="17"/>
  </w:num>
  <w:num w:numId="34" w16cid:durableId="1350989072">
    <w:abstractNumId w:val="47"/>
  </w:num>
  <w:num w:numId="35" w16cid:durableId="967248625">
    <w:abstractNumId w:val="33"/>
  </w:num>
  <w:num w:numId="36" w16cid:durableId="1925797840">
    <w:abstractNumId w:val="18"/>
  </w:num>
  <w:num w:numId="37" w16cid:durableId="1052340483">
    <w:abstractNumId w:val="44"/>
  </w:num>
  <w:num w:numId="38" w16cid:durableId="1026373257">
    <w:abstractNumId w:val="15"/>
  </w:num>
  <w:num w:numId="39" w16cid:durableId="1899591492">
    <w:abstractNumId w:val="13"/>
  </w:num>
  <w:num w:numId="40" w16cid:durableId="1457792408">
    <w:abstractNumId w:val="22"/>
  </w:num>
  <w:num w:numId="41" w16cid:durableId="384522114">
    <w:abstractNumId w:val="37"/>
  </w:num>
  <w:num w:numId="42" w16cid:durableId="2103649645">
    <w:abstractNumId w:val="2"/>
  </w:num>
  <w:num w:numId="43" w16cid:durableId="924724989">
    <w:abstractNumId w:val="1"/>
  </w:num>
  <w:num w:numId="44" w16cid:durableId="159195088">
    <w:abstractNumId w:val="6"/>
  </w:num>
  <w:num w:numId="45" w16cid:durableId="416749226">
    <w:abstractNumId w:val="26"/>
  </w:num>
  <w:num w:numId="46" w16cid:durableId="1225144549">
    <w:abstractNumId w:val="20"/>
  </w:num>
  <w:num w:numId="47" w16cid:durableId="1808627904">
    <w:abstractNumId w:val="46"/>
  </w:num>
  <w:num w:numId="48" w16cid:durableId="5032103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565"/>
    <w:rsid w:val="00042E71"/>
    <w:rsid w:val="00095994"/>
    <w:rsid w:val="000B4310"/>
    <w:rsid w:val="000F7503"/>
    <w:rsid w:val="00114762"/>
    <w:rsid w:val="00125ADA"/>
    <w:rsid w:val="00172A40"/>
    <w:rsid w:val="0019309F"/>
    <w:rsid w:val="00294AB9"/>
    <w:rsid w:val="002D4B9B"/>
    <w:rsid w:val="00317704"/>
    <w:rsid w:val="00335389"/>
    <w:rsid w:val="00361C14"/>
    <w:rsid w:val="003930B2"/>
    <w:rsid w:val="003C354E"/>
    <w:rsid w:val="003D0FCC"/>
    <w:rsid w:val="003E7E21"/>
    <w:rsid w:val="004000D7"/>
    <w:rsid w:val="004151A9"/>
    <w:rsid w:val="00460CB3"/>
    <w:rsid w:val="004619FB"/>
    <w:rsid w:val="0046450A"/>
    <w:rsid w:val="004A02C7"/>
    <w:rsid w:val="004E77EF"/>
    <w:rsid w:val="00504E43"/>
    <w:rsid w:val="00536A6A"/>
    <w:rsid w:val="005538F8"/>
    <w:rsid w:val="005629D2"/>
    <w:rsid w:val="00584DE3"/>
    <w:rsid w:val="005A55A0"/>
    <w:rsid w:val="005C6495"/>
    <w:rsid w:val="005E0DBE"/>
    <w:rsid w:val="005E7A01"/>
    <w:rsid w:val="00607DED"/>
    <w:rsid w:val="00612996"/>
    <w:rsid w:val="0065462D"/>
    <w:rsid w:val="00675FDF"/>
    <w:rsid w:val="006B51E3"/>
    <w:rsid w:val="006C11BB"/>
    <w:rsid w:val="006C3EC9"/>
    <w:rsid w:val="007004F3"/>
    <w:rsid w:val="00725828"/>
    <w:rsid w:val="00743EFE"/>
    <w:rsid w:val="00750B10"/>
    <w:rsid w:val="007573B9"/>
    <w:rsid w:val="00760609"/>
    <w:rsid w:val="007908F4"/>
    <w:rsid w:val="00794D8B"/>
    <w:rsid w:val="007A55C8"/>
    <w:rsid w:val="00817372"/>
    <w:rsid w:val="008361E2"/>
    <w:rsid w:val="00863690"/>
    <w:rsid w:val="008C0294"/>
    <w:rsid w:val="008C335F"/>
    <w:rsid w:val="008C36DD"/>
    <w:rsid w:val="00902BDA"/>
    <w:rsid w:val="00914FCC"/>
    <w:rsid w:val="0097721F"/>
    <w:rsid w:val="00980C0A"/>
    <w:rsid w:val="009E3B80"/>
    <w:rsid w:val="00A405EF"/>
    <w:rsid w:val="00A50C5D"/>
    <w:rsid w:val="00A6240C"/>
    <w:rsid w:val="00A6373F"/>
    <w:rsid w:val="00AD3168"/>
    <w:rsid w:val="00AD47F9"/>
    <w:rsid w:val="00B0457A"/>
    <w:rsid w:val="00B402F1"/>
    <w:rsid w:val="00B50963"/>
    <w:rsid w:val="00B70ABA"/>
    <w:rsid w:val="00B9322D"/>
    <w:rsid w:val="00BA65A0"/>
    <w:rsid w:val="00BE3A8A"/>
    <w:rsid w:val="00C50119"/>
    <w:rsid w:val="00C7665B"/>
    <w:rsid w:val="00C83DF2"/>
    <w:rsid w:val="00CA1CE8"/>
    <w:rsid w:val="00CB40BC"/>
    <w:rsid w:val="00CC7808"/>
    <w:rsid w:val="00D00434"/>
    <w:rsid w:val="00D20953"/>
    <w:rsid w:val="00D757B0"/>
    <w:rsid w:val="00D93D43"/>
    <w:rsid w:val="00DA7303"/>
    <w:rsid w:val="00DB2194"/>
    <w:rsid w:val="00DD3ED0"/>
    <w:rsid w:val="00DF33A3"/>
    <w:rsid w:val="00DF733F"/>
    <w:rsid w:val="00E34F5F"/>
    <w:rsid w:val="00E625AD"/>
    <w:rsid w:val="00E709E9"/>
    <w:rsid w:val="00E86136"/>
    <w:rsid w:val="00EB6F28"/>
    <w:rsid w:val="00F01386"/>
    <w:rsid w:val="00F22BA3"/>
    <w:rsid w:val="00F750F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 w:type="character" w:customStyle="1" w:styleId="ui-provider">
    <w:name w:val="ui-provider"/>
    <w:basedOn w:val="DefaultParagraphFont"/>
    <w:rsid w:val="00A63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Crozier, Selina - Oxfordshire County Council</cp:lastModifiedBy>
  <cp:revision>2</cp:revision>
  <dcterms:created xsi:type="dcterms:W3CDTF">2025-11-06T11:21:00Z</dcterms:created>
  <dcterms:modified xsi:type="dcterms:W3CDTF">2025-11-06T11:21:00Z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