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7F47" w14:textId="77777777" w:rsidR="00A13BE2" w:rsidRDefault="00A13BE2" w:rsidP="00114762">
      <w:pPr>
        <w:rPr>
          <w:rFonts w:ascii="Arial" w:hAnsi="Arial" w:cs="Arial"/>
          <w:b/>
          <w:sz w:val="72"/>
          <w:szCs w:val="72"/>
        </w:rPr>
      </w:pPr>
    </w:p>
    <w:p w14:paraId="57B411FA" w14:textId="01C214B1"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3" w:type="pct"/>
        <w:tblLook w:val="01E0" w:firstRow="1" w:lastRow="1" w:firstColumn="1" w:lastColumn="1" w:noHBand="0" w:noVBand="0"/>
      </w:tblPr>
      <w:tblGrid>
        <w:gridCol w:w="2279"/>
        <w:gridCol w:w="7922"/>
      </w:tblGrid>
      <w:tr w:rsidR="00A13BE2" w:rsidRPr="009F0647" w14:paraId="4896F93B" w14:textId="77777777" w:rsidTr="00A13BE2">
        <w:tc>
          <w:tcPr>
            <w:tcW w:w="1117" w:type="pct"/>
          </w:tcPr>
          <w:p w14:paraId="4CB0E192" w14:textId="77777777" w:rsidR="00A13BE2" w:rsidRPr="009F0647" w:rsidRDefault="00A13BE2" w:rsidP="00A13BE2">
            <w:pPr>
              <w:pStyle w:val="Normaltable"/>
              <w:rPr>
                <w:rFonts w:ascii="Arial" w:hAnsi="Arial" w:cs="Arial"/>
              </w:rPr>
            </w:pPr>
            <w:r w:rsidRPr="009F0647">
              <w:rPr>
                <w:rFonts w:ascii="Arial" w:hAnsi="Arial" w:cs="Arial"/>
              </w:rPr>
              <w:t>Job Title:</w:t>
            </w:r>
          </w:p>
        </w:tc>
        <w:tc>
          <w:tcPr>
            <w:tcW w:w="3883" w:type="pct"/>
          </w:tcPr>
          <w:p w14:paraId="4FCEC0F9" w14:textId="29016244" w:rsidR="00A13BE2" w:rsidRDefault="00A13BE2" w:rsidP="00A13BE2">
            <w:pPr>
              <w:rPr>
                <w:rFonts w:ascii="Arial" w:hAnsi="Arial" w:cs="Arial"/>
              </w:rPr>
            </w:pPr>
            <w:r>
              <w:rPr>
                <w:rFonts w:ascii="Arial" w:eastAsia="Arial" w:hAnsi="Arial" w:cs="Arial"/>
              </w:rPr>
              <w:t xml:space="preserve">Commissioning Manager </w:t>
            </w:r>
          </w:p>
        </w:tc>
      </w:tr>
      <w:tr w:rsidR="00A13BE2" w:rsidRPr="009F0647" w14:paraId="3474185F" w14:textId="77777777" w:rsidTr="00A13BE2">
        <w:tc>
          <w:tcPr>
            <w:tcW w:w="1117" w:type="pct"/>
          </w:tcPr>
          <w:p w14:paraId="62E43123" w14:textId="55A584F7" w:rsidR="00A13BE2" w:rsidRPr="009F0647" w:rsidRDefault="00A13BE2" w:rsidP="00A13BE2">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7FB91326" w14:textId="77777777" w:rsidR="0093547C" w:rsidRPr="0093547C" w:rsidRDefault="0093547C" w:rsidP="0093547C">
            <w:pPr>
              <w:pStyle w:val="paragraph"/>
              <w:spacing w:before="0" w:beforeAutospacing="0" w:after="0" w:afterAutospacing="0"/>
              <w:textAlignment w:val="baseline"/>
              <w:rPr>
                <w:rFonts w:ascii="Segoe UI" w:hAnsi="Segoe UI" w:cs="Segoe UI"/>
                <w:sz w:val="22"/>
                <w:szCs w:val="22"/>
              </w:rPr>
            </w:pPr>
            <w:r w:rsidRPr="0093547C">
              <w:rPr>
                <w:rStyle w:val="normaltextrun"/>
                <w:rFonts w:ascii="Arial" w:hAnsi="Arial" w:cs="Arial"/>
                <w:color w:val="000000"/>
                <w:sz w:val="22"/>
                <w:szCs w:val="22"/>
              </w:rPr>
              <w:t>£55,783 - £59,010 (OCC)     </w:t>
            </w:r>
            <w:r w:rsidRPr="0093547C">
              <w:rPr>
                <w:rStyle w:val="eop"/>
                <w:rFonts w:ascii="Arial" w:hAnsi="Arial" w:cs="Arial"/>
                <w:color w:val="000000"/>
                <w:sz w:val="22"/>
                <w:szCs w:val="22"/>
              </w:rPr>
              <w:t> </w:t>
            </w:r>
          </w:p>
          <w:p w14:paraId="7A20902A" w14:textId="063F7FC7" w:rsidR="0093547C" w:rsidRPr="0093547C" w:rsidRDefault="0093547C" w:rsidP="0093547C">
            <w:pPr>
              <w:pStyle w:val="paragraph"/>
              <w:spacing w:before="0" w:beforeAutospacing="0" w:after="0" w:afterAutospacing="0"/>
              <w:textAlignment w:val="baseline"/>
              <w:rPr>
                <w:rFonts w:ascii="Segoe UI" w:hAnsi="Segoe UI" w:cs="Segoe UI"/>
                <w:sz w:val="22"/>
                <w:szCs w:val="22"/>
              </w:rPr>
            </w:pPr>
            <w:r w:rsidRPr="0093547C">
              <w:rPr>
                <w:rStyle w:val="normaltextrun"/>
                <w:rFonts w:ascii="Arial" w:hAnsi="Arial" w:cs="Arial"/>
                <w:color w:val="000000"/>
                <w:sz w:val="22"/>
                <w:szCs w:val="22"/>
              </w:rPr>
              <w:t>£50,952 - £57,349 (</w:t>
            </w:r>
            <w:r>
              <w:rPr>
                <w:rStyle w:val="normaltextrun"/>
                <w:rFonts w:ascii="Arial" w:hAnsi="Arial" w:cs="Arial"/>
                <w:color w:val="000000"/>
                <w:sz w:val="22"/>
                <w:szCs w:val="22"/>
              </w:rPr>
              <w:t>BOB ICB</w:t>
            </w:r>
            <w:r w:rsidRPr="0093547C">
              <w:rPr>
                <w:rStyle w:val="normaltextrun"/>
                <w:rFonts w:ascii="Arial" w:hAnsi="Arial" w:cs="Arial"/>
                <w:color w:val="000000"/>
                <w:sz w:val="22"/>
                <w:szCs w:val="22"/>
              </w:rPr>
              <w:t>)</w:t>
            </w:r>
            <w:r w:rsidRPr="0093547C">
              <w:rPr>
                <w:rStyle w:val="eop"/>
                <w:rFonts w:ascii="Arial" w:hAnsi="Arial" w:cs="Arial"/>
                <w:color w:val="000000"/>
                <w:sz w:val="22"/>
                <w:szCs w:val="22"/>
              </w:rPr>
              <w:t> </w:t>
            </w:r>
          </w:p>
          <w:p w14:paraId="31741623" w14:textId="77777777" w:rsidR="00A13BE2" w:rsidRDefault="00A13BE2" w:rsidP="00A13BE2">
            <w:pPr>
              <w:pBdr>
                <w:top w:val="nil"/>
                <w:left w:val="nil"/>
                <w:bottom w:val="nil"/>
                <w:right w:val="nil"/>
                <w:between w:val="nil"/>
              </w:pBdr>
              <w:spacing w:before="60" w:after="60"/>
              <w:rPr>
                <w:rFonts w:ascii="Arial" w:eastAsia="Arial" w:hAnsi="Arial" w:cs="Arial"/>
                <w:color w:val="000000"/>
              </w:rPr>
            </w:pPr>
          </w:p>
          <w:p w14:paraId="4D8202EC" w14:textId="77777777" w:rsidR="00A13BE2" w:rsidRPr="00A13BE2" w:rsidRDefault="00A13BE2" w:rsidP="00A13BE2">
            <w:pPr>
              <w:rPr>
                <w:rFonts w:ascii="Arial" w:hAnsi="Arial" w:cs="Arial"/>
                <w:color w:val="000000"/>
                <w:szCs w:val="22"/>
              </w:rPr>
            </w:pPr>
            <w:r w:rsidRPr="00A13BE2">
              <w:rPr>
                <w:rFonts w:ascii="Arial" w:hAnsi="Arial" w:cs="Arial"/>
                <w:color w:val="000000"/>
                <w:szCs w:val="22"/>
              </w:rPr>
              <w:t>The successful applicant will be employed by OCC unless you are currently employed by the NHS and wish to maintain continuity of service.</w:t>
            </w:r>
          </w:p>
          <w:p w14:paraId="7D57239F" w14:textId="77777777" w:rsidR="00A13BE2" w:rsidRPr="009F0647" w:rsidRDefault="00A13BE2" w:rsidP="00A13BE2">
            <w:pPr>
              <w:pStyle w:val="Normaltable"/>
              <w:rPr>
                <w:rFonts w:ascii="Arial" w:hAnsi="Arial" w:cs="Arial"/>
                <w:szCs w:val="22"/>
              </w:rPr>
            </w:pPr>
          </w:p>
        </w:tc>
      </w:tr>
      <w:tr w:rsidR="00A13BE2" w:rsidRPr="009F0647" w14:paraId="3199C76E" w14:textId="77777777" w:rsidTr="00A13BE2">
        <w:tc>
          <w:tcPr>
            <w:tcW w:w="1117" w:type="pct"/>
          </w:tcPr>
          <w:p w14:paraId="174ADAE6" w14:textId="6D81FA00" w:rsidR="00A13BE2" w:rsidRPr="009F0647" w:rsidRDefault="00A13BE2" w:rsidP="00A13BE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0FB6F925" w14:textId="77777777" w:rsidR="00A13BE2" w:rsidRDefault="00A13BE2" w:rsidP="00A13BE2">
            <w:pPr>
              <w:rPr>
                <w:rFonts w:ascii="Arial" w:hAnsi="Arial" w:cs="Arial"/>
              </w:rPr>
            </w:pPr>
            <w:r>
              <w:rPr>
                <w:rFonts w:ascii="Arial" w:hAnsi="Arial" w:cs="Arial"/>
              </w:rPr>
              <w:t xml:space="preserve">15 (OCC) </w:t>
            </w:r>
          </w:p>
          <w:p w14:paraId="4831CDFB" w14:textId="0F03EE7B" w:rsidR="00A13BE2" w:rsidRPr="0093547C" w:rsidRDefault="00A13BE2" w:rsidP="00A13BE2">
            <w:pPr>
              <w:rPr>
                <w:rFonts w:ascii="Arial" w:hAnsi="Arial" w:cs="Arial"/>
              </w:rPr>
            </w:pPr>
            <w:r w:rsidRPr="0093547C">
              <w:rPr>
                <w:rFonts w:ascii="Arial" w:hAnsi="Arial" w:cs="Arial"/>
              </w:rPr>
              <w:t>8a (</w:t>
            </w:r>
            <w:r w:rsidR="0093547C" w:rsidRPr="0093547C">
              <w:rPr>
                <w:rFonts w:ascii="Arial" w:hAnsi="Arial" w:cs="Arial"/>
              </w:rPr>
              <w:t>BOB ICB</w:t>
            </w:r>
            <w:r w:rsidRPr="0093547C">
              <w:rPr>
                <w:rFonts w:ascii="Arial" w:hAnsi="Arial" w:cs="Arial"/>
              </w:rPr>
              <w:t>)</w:t>
            </w:r>
          </w:p>
        </w:tc>
      </w:tr>
      <w:tr w:rsidR="00A13BE2" w:rsidRPr="009F0647" w14:paraId="14527B7B" w14:textId="77777777" w:rsidTr="00A13BE2">
        <w:tc>
          <w:tcPr>
            <w:tcW w:w="1117" w:type="pct"/>
          </w:tcPr>
          <w:p w14:paraId="64D7B459" w14:textId="77777777" w:rsidR="00A13BE2" w:rsidRPr="009F0647" w:rsidRDefault="00A13BE2" w:rsidP="00A13BE2">
            <w:pPr>
              <w:pStyle w:val="Normaltable"/>
              <w:rPr>
                <w:rFonts w:ascii="Arial" w:hAnsi="Arial" w:cs="Arial"/>
              </w:rPr>
            </w:pPr>
            <w:r w:rsidRPr="009F0647">
              <w:rPr>
                <w:rFonts w:ascii="Arial" w:hAnsi="Arial" w:cs="Arial"/>
              </w:rPr>
              <w:t>Hours:</w:t>
            </w:r>
          </w:p>
        </w:tc>
        <w:tc>
          <w:tcPr>
            <w:tcW w:w="3883" w:type="pct"/>
          </w:tcPr>
          <w:p w14:paraId="5A46873F" w14:textId="77777777" w:rsidR="00A13BE2" w:rsidRDefault="00A13BE2" w:rsidP="00A13BE2">
            <w:pPr>
              <w:rPr>
                <w:rFonts w:ascii="Arial" w:hAnsi="Arial" w:cs="Arial"/>
              </w:rPr>
            </w:pPr>
            <w:r>
              <w:rPr>
                <w:rFonts w:ascii="Arial" w:hAnsi="Arial" w:cs="Arial"/>
              </w:rPr>
              <w:t>37</w:t>
            </w:r>
            <w:r w:rsidRPr="00471DAB">
              <w:rPr>
                <w:rFonts w:ascii="Arial" w:hAnsi="Arial" w:cs="Arial"/>
              </w:rPr>
              <w:t xml:space="preserve"> (</w:t>
            </w:r>
            <w:r>
              <w:rPr>
                <w:rFonts w:ascii="Arial" w:hAnsi="Arial" w:cs="Arial"/>
              </w:rPr>
              <w:t>OCC)</w:t>
            </w:r>
          </w:p>
          <w:p w14:paraId="5FB3D108" w14:textId="2BD9D73E" w:rsidR="00A13BE2" w:rsidRPr="00471DAB" w:rsidRDefault="00A13BE2" w:rsidP="00A13BE2">
            <w:pPr>
              <w:rPr>
                <w:rFonts w:ascii="Arial" w:hAnsi="Arial" w:cs="Arial"/>
              </w:rPr>
            </w:pPr>
            <w:r>
              <w:t xml:space="preserve">37.5 </w:t>
            </w:r>
            <w:r w:rsidR="0093547C" w:rsidRPr="0093547C">
              <w:rPr>
                <w:rFonts w:ascii="Arial" w:hAnsi="Arial" w:cs="Arial"/>
              </w:rPr>
              <w:t>(BOB ICB)</w:t>
            </w:r>
          </w:p>
        </w:tc>
      </w:tr>
      <w:tr w:rsidR="00A13BE2" w:rsidRPr="009F0647" w14:paraId="2D3F65CB" w14:textId="77777777" w:rsidTr="00A13BE2">
        <w:tc>
          <w:tcPr>
            <w:tcW w:w="1117" w:type="pct"/>
          </w:tcPr>
          <w:p w14:paraId="3B57DD00" w14:textId="77777777" w:rsidR="00A13BE2" w:rsidRPr="009F0647" w:rsidRDefault="00A13BE2" w:rsidP="00A13BE2">
            <w:pPr>
              <w:pStyle w:val="Normaltable"/>
              <w:rPr>
                <w:rFonts w:ascii="Arial" w:hAnsi="Arial" w:cs="Arial"/>
              </w:rPr>
            </w:pPr>
            <w:r w:rsidRPr="009F0647">
              <w:rPr>
                <w:rFonts w:ascii="Arial" w:hAnsi="Arial" w:cs="Arial"/>
              </w:rPr>
              <w:t>Team:</w:t>
            </w:r>
          </w:p>
        </w:tc>
        <w:tc>
          <w:tcPr>
            <w:tcW w:w="3883" w:type="pct"/>
          </w:tcPr>
          <w:p w14:paraId="5D115D52" w14:textId="713C64B7" w:rsidR="00A13BE2" w:rsidRPr="00471DAB" w:rsidRDefault="00A13BE2" w:rsidP="00A13BE2">
            <w:pPr>
              <w:rPr>
                <w:rFonts w:ascii="Arial" w:hAnsi="Arial" w:cs="Arial"/>
              </w:rPr>
            </w:pPr>
            <w:r w:rsidRPr="009E5B65">
              <w:rPr>
                <w:rFonts w:ascii="Arial" w:hAnsi="Arial" w:cs="Arial"/>
              </w:rPr>
              <w:t>Strategic Commissioning</w:t>
            </w:r>
            <w:r w:rsidRPr="00471DAB">
              <w:rPr>
                <w:rFonts w:ascii="Arial" w:hAnsi="Arial" w:cs="Arial"/>
              </w:rPr>
              <w:t xml:space="preserve"> </w:t>
            </w:r>
          </w:p>
        </w:tc>
      </w:tr>
      <w:tr w:rsidR="00A13BE2" w:rsidRPr="009F0647" w14:paraId="0D3DFF42" w14:textId="77777777" w:rsidTr="00A13BE2">
        <w:tc>
          <w:tcPr>
            <w:tcW w:w="1117" w:type="pct"/>
          </w:tcPr>
          <w:p w14:paraId="7430D96F" w14:textId="77777777" w:rsidR="00A13BE2" w:rsidRPr="009F0647" w:rsidRDefault="00A13BE2" w:rsidP="00A13BE2">
            <w:pPr>
              <w:pStyle w:val="Normaltable"/>
              <w:rPr>
                <w:rFonts w:ascii="Arial" w:hAnsi="Arial" w:cs="Arial"/>
              </w:rPr>
            </w:pPr>
            <w:r w:rsidRPr="009F0647">
              <w:rPr>
                <w:rFonts w:ascii="Arial" w:hAnsi="Arial" w:cs="Arial"/>
              </w:rPr>
              <w:t>Service Area:</w:t>
            </w:r>
          </w:p>
        </w:tc>
        <w:tc>
          <w:tcPr>
            <w:tcW w:w="3883" w:type="pct"/>
          </w:tcPr>
          <w:p w14:paraId="76A10433" w14:textId="34F0C76D" w:rsidR="00A13BE2" w:rsidRPr="00471DAB" w:rsidRDefault="00A13BE2" w:rsidP="00A13BE2">
            <w:pPr>
              <w:rPr>
                <w:rFonts w:ascii="Arial" w:hAnsi="Arial" w:cs="Arial"/>
              </w:rPr>
            </w:pPr>
            <w:r>
              <w:rPr>
                <w:rFonts w:ascii="Arial" w:eastAsia="Arial" w:hAnsi="Arial" w:cs="Arial"/>
              </w:rPr>
              <w:t>Health, Education and Social Care Commissioning</w:t>
            </w:r>
            <w:r w:rsidRPr="00471DAB">
              <w:rPr>
                <w:rFonts w:ascii="Arial" w:hAnsi="Arial" w:cs="Arial"/>
              </w:rPr>
              <w:t xml:space="preserve">  </w:t>
            </w:r>
          </w:p>
        </w:tc>
      </w:tr>
      <w:tr w:rsidR="00A13BE2" w:rsidRPr="009F0647" w14:paraId="13A30B79" w14:textId="77777777" w:rsidTr="00A13BE2">
        <w:tc>
          <w:tcPr>
            <w:tcW w:w="1117" w:type="pct"/>
          </w:tcPr>
          <w:p w14:paraId="1E763D87" w14:textId="77777777" w:rsidR="00A13BE2" w:rsidRPr="009F0647" w:rsidRDefault="00A13BE2" w:rsidP="00A13BE2">
            <w:pPr>
              <w:pStyle w:val="Normaltable"/>
              <w:rPr>
                <w:rFonts w:ascii="Arial" w:hAnsi="Arial" w:cs="Arial"/>
              </w:rPr>
            </w:pPr>
            <w:r w:rsidRPr="009F0647">
              <w:rPr>
                <w:rFonts w:ascii="Arial" w:hAnsi="Arial" w:cs="Arial"/>
              </w:rPr>
              <w:t>Primary Location:</w:t>
            </w:r>
          </w:p>
        </w:tc>
        <w:tc>
          <w:tcPr>
            <w:tcW w:w="3883" w:type="pct"/>
          </w:tcPr>
          <w:p w14:paraId="00C2A24F" w14:textId="141F7FAF" w:rsidR="00A13BE2" w:rsidRPr="00471DAB" w:rsidRDefault="00A13BE2" w:rsidP="00A13BE2">
            <w:pPr>
              <w:rPr>
                <w:rFonts w:ascii="Arial" w:hAnsi="Arial" w:cs="Arial"/>
              </w:rPr>
            </w:pPr>
            <w:r>
              <w:rPr>
                <w:rFonts w:ascii="Arial" w:eastAsia="Arial" w:hAnsi="Arial" w:cs="Arial"/>
              </w:rPr>
              <w:t xml:space="preserve">County Hall, Oxford     </w:t>
            </w:r>
            <w:r w:rsidRPr="00471DAB">
              <w:rPr>
                <w:rFonts w:ascii="Arial" w:hAnsi="Arial" w:cs="Arial"/>
              </w:rPr>
              <w:t xml:space="preserve">  </w:t>
            </w:r>
          </w:p>
        </w:tc>
      </w:tr>
      <w:tr w:rsidR="00A13BE2" w:rsidRPr="009F0647" w14:paraId="2AF5F990" w14:textId="77777777" w:rsidTr="00A13BE2">
        <w:tc>
          <w:tcPr>
            <w:tcW w:w="1117" w:type="pct"/>
          </w:tcPr>
          <w:p w14:paraId="70FBD82D" w14:textId="77777777" w:rsidR="00A13BE2" w:rsidRPr="009F0647" w:rsidRDefault="00A13BE2" w:rsidP="00A13BE2">
            <w:pPr>
              <w:pStyle w:val="Normaltable"/>
              <w:rPr>
                <w:rFonts w:ascii="Arial" w:hAnsi="Arial" w:cs="Arial"/>
              </w:rPr>
            </w:pPr>
            <w:r>
              <w:rPr>
                <w:rFonts w:ascii="Arial" w:hAnsi="Arial" w:cs="Arial"/>
              </w:rPr>
              <w:t>Budget responsibility:</w:t>
            </w:r>
          </w:p>
        </w:tc>
        <w:tc>
          <w:tcPr>
            <w:tcW w:w="3883" w:type="pct"/>
          </w:tcPr>
          <w:p w14:paraId="3DD11BF2" w14:textId="1772234F" w:rsidR="00A13BE2" w:rsidRPr="009F0647" w:rsidRDefault="00A13BE2" w:rsidP="00A13BE2">
            <w:pPr>
              <w:pStyle w:val="Normaltable"/>
              <w:rPr>
                <w:rFonts w:ascii="Arial" w:hAnsi="Arial" w:cs="Arial"/>
              </w:rPr>
            </w:pPr>
            <w:r>
              <w:rPr>
                <w:rFonts w:ascii="Arial" w:hAnsi="Arial" w:cs="Arial"/>
              </w:rPr>
              <w:t>Yes</w:t>
            </w:r>
          </w:p>
        </w:tc>
      </w:tr>
      <w:tr w:rsidR="00A13BE2" w:rsidRPr="009F0647" w14:paraId="1CEC3517" w14:textId="77777777" w:rsidTr="00A13BE2">
        <w:tc>
          <w:tcPr>
            <w:tcW w:w="1117" w:type="pct"/>
          </w:tcPr>
          <w:p w14:paraId="3973C3E8" w14:textId="77777777" w:rsidR="00A13BE2" w:rsidRPr="009F0647" w:rsidRDefault="00A13BE2" w:rsidP="00A13BE2">
            <w:pPr>
              <w:pStyle w:val="Normaltable"/>
              <w:rPr>
                <w:rFonts w:ascii="Arial" w:hAnsi="Arial" w:cs="Arial"/>
              </w:rPr>
            </w:pPr>
            <w:r w:rsidRPr="009F0647">
              <w:rPr>
                <w:rFonts w:ascii="Arial" w:hAnsi="Arial" w:cs="Arial"/>
              </w:rPr>
              <w:t>Responsible to:</w:t>
            </w:r>
          </w:p>
        </w:tc>
        <w:tc>
          <w:tcPr>
            <w:tcW w:w="3883" w:type="pct"/>
          </w:tcPr>
          <w:p w14:paraId="56582F2E" w14:textId="10C15329" w:rsidR="00A13BE2" w:rsidRPr="009F0647" w:rsidRDefault="00A13BE2" w:rsidP="00A13BE2">
            <w:pPr>
              <w:pStyle w:val="Normaltable"/>
              <w:rPr>
                <w:rFonts w:ascii="Arial" w:hAnsi="Arial" w:cs="Arial"/>
              </w:rPr>
            </w:pPr>
            <w:r>
              <w:rPr>
                <w:rFonts w:ascii="Arial" w:eastAsia="Arial" w:hAnsi="Arial" w:cs="Arial"/>
              </w:rPr>
              <w:t>Lead Commissioner</w:t>
            </w:r>
          </w:p>
        </w:tc>
      </w:tr>
      <w:tr w:rsidR="00A13BE2" w:rsidRPr="009F0647" w14:paraId="0564E821" w14:textId="77777777" w:rsidTr="00A13BE2">
        <w:tc>
          <w:tcPr>
            <w:tcW w:w="1117" w:type="pct"/>
          </w:tcPr>
          <w:p w14:paraId="2CBD7ECF" w14:textId="77777777" w:rsidR="00A13BE2" w:rsidRPr="009F0647" w:rsidRDefault="00A13BE2" w:rsidP="00A13BE2">
            <w:pPr>
              <w:pStyle w:val="Normaltable"/>
              <w:rPr>
                <w:rFonts w:ascii="Arial" w:hAnsi="Arial" w:cs="Arial"/>
              </w:rPr>
            </w:pPr>
            <w:r w:rsidRPr="009F0647">
              <w:rPr>
                <w:rFonts w:ascii="Arial" w:hAnsi="Arial" w:cs="Arial"/>
              </w:rPr>
              <w:t>Responsible for:</w:t>
            </w:r>
          </w:p>
        </w:tc>
        <w:tc>
          <w:tcPr>
            <w:tcW w:w="3883" w:type="pct"/>
          </w:tcPr>
          <w:p w14:paraId="577A53FF" w14:textId="63A00DFB" w:rsidR="00A13BE2" w:rsidRPr="009F0647" w:rsidRDefault="00A13BE2" w:rsidP="00A13BE2">
            <w:pPr>
              <w:rPr>
                <w:rFonts w:ascii="Arial" w:hAnsi="Arial" w:cs="Arial"/>
              </w:rPr>
            </w:pPr>
            <w:r>
              <w:rPr>
                <w:rFonts w:ascii="Arial" w:eastAsia="Arial" w:hAnsi="Arial" w:cs="Arial"/>
              </w:rPr>
              <w:t>Commissioning Officers, Commissioning Support Officers</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A13BE2" w14:paraId="7767AE61" w14:textId="77777777" w:rsidTr="00B0457A">
        <w:tc>
          <w:tcPr>
            <w:tcW w:w="10195" w:type="dxa"/>
          </w:tcPr>
          <w:p w14:paraId="58399F68" w14:textId="77777777" w:rsidR="00A13BE2" w:rsidRDefault="00A13BE2" w:rsidP="00A13BE2">
            <w:pPr>
              <w:widowControl w:val="0"/>
              <w:rPr>
                <w:rFonts w:ascii="Arial" w:eastAsia="Arial" w:hAnsi="Arial" w:cs="Arial"/>
              </w:rPr>
            </w:pPr>
          </w:p>
          <w:p w14:paraId="35A54AE6" w14:textId="77777777" w:rsidR="00A13BE2" w:rsidRDefault="00A13BE2" w:rsidP="00A13BE2">
            <w:pPr>
              <w:widowControl w:val="0"/>
              <w:rPr>
                <w:rFonts w:ascii="Arial" w:eastAsia="Arial" w:hAnsi="Arial" w:cs="Arial"/>
              </w:rPr>
            </w:pPr>
            <w:r w:rsidRPr="00783F29">
              <w:rPr>
                <w:rFonts w:ascii="Arial" w:eastAsia="Arial" w:hAnsi="Arial" w:cs="Arial"/>
              </w:rPr>
              <w:t xml:space="preserve">The role of commissioning is to understand the population, their resources, needs, and aspirations, now and in the future. We plan with </w:t>
            </w:r>
            <w:r>
              <w:rPr>
                <w:rFonts w:ascii="Arial" w:eastAsia="Arial" w:hAnsi="Arial" w:cs="Arial"/>
              </w:rPr>
              <w:t xml:space="preserve">local </w:t>
            </w:r>
            <w:r w:rsidRPr="00783F29">
              <w:rPr>
                <w:rFonts w:ascii="Arial" w:eastAsia="Arial" w:hAnsi="Arial" w:cs="Arial"/>
              </w:rPr>
              <w:t xml:space="preserve">people, and our organisational partners, to make the most effective use of local resources and develop solutions to meet needs and aspirations. We create an environment where we, </w:t>
            </w:r>
            <w:r>
              <w:rPr>
                <w:rFonts w:ascii="Arial" w:eastAsia="Arial" w:hAnsi="Arial" w:cs="Arial"/>
              </w:rPr>
              <w:t xml:space="preserve">local </w:t>
            </w:r>
            <w:r w:rsidRPr="00783F29">
              <w:rPr>
                <w:rFonts w:ascii="Arial" w:eastAsia="Arial" w:hAnsi="Arial" w:cs="Arial"/>
              </w:rPr>
              <w:t xml:space="preserve">people, and organisational partners can </w:t>
            </w:r>
            <w:r>
              <w:rPr>
                <w:rFonts w:ascii="Arial" w:eastAsia="Arial" w:hAnsi="Arial" w:cs="Arial"/>
              </w:rPr>
              <w:t>deliver outcomes with consistency using the right skills and services in an appropriate vehicle. We support continuous improvement so we can be even more ambitious for our organisations and communities in the future.</w:t>
            </w:r>
          </w:p>
          <w:p w14:paraId="21372589" w14:textId="77777777" w:rsidR="00A13BE2" w:rsidRDefault="00A13BE2" w:rsidP="00A13BE2">
            <w:pPr>
              <w:widowControl w:val="0"/>
              <w:rPr>
                <w:rFonts w:ascii="Arial" w:eastAsia="Arial" w:hAnsi="Arial" w:cs="Arial"/>
              </w:rPr>
            </w:pPr>
          </w:p>
          <w:p w14:paraId="5BA7B34A" w14:textId="77777777" w:rsidR="00A13BE2" w:rsidRDefault="00A13BE2" w:rsidP="00A13BE2">
            <w:pPr>
              <w:widowControl w:val="0"/>
              <w:rPr>
                <w:rFonts w:ascii="Arial" w:eastAsia="Arial" w:hAnsi="Arial" w:cs="Arial"/>
              </w:rPr>
            </w:pPr>
            <w:r w:rsidRPr="00783F29">
              <w:rPr>
                <w:rFonts w:ascii="Arial" w:eastAsia="Arial" w:hAnsi="Arial" w:cs="Arial"/>
              </w:rPr>
              <w:t xml:space="preserve">We </w:t>
            </w:r>
            <w:r>
              <w:rPr>
                <w:rFonts w:ascii="Arial" w:eastAsia="Arial" w:hAnsi="Arial" w:cs="Arial"/>
              </w:rPr>
              <w:t>strive to achieve this in partnership with local people</w:t>
            </w:r>
            <w:r w:rsidRPr="00783F29">
              <w:rPr>
                <w:rFonts w:ascii="Arial" w:eastAsia="Arial" w:hAnsi="Arial" w:cs="Arial"/>
              </w:rPr>
              <w:t xml:space="preserve">, NHS commissioners, districts and city council, </w:t>
            </w:r>
            <w:r>
              <w:rPr>
                <w:rFonts w:ascii="Arial" w:eastAsia="Arial" w:hAnsi="Arial" w:cs="Arial"/>
              </w:rPr>
              <w:t xml:space="preserve">and providers. This promotes a </w:t>
            </w:r>
            <w:r w:rsidRPr="000F0B8D">
              <w:rPr>
                <w:rFonts w:ascii="Arial" w:eastAsia="Arial" w:hAnsi="Arial" w:cs="Arial"/>
              </w:rPr>
              <w:t>person-centred, place</w:t>
            </w:r>
            <w:r>
              <w:rPr>
                <w:rFonts w:ascii="Arial" w:eastAsia="Arial" w:hAnsi="Arial" w:cs="Arial"/>
              </w:rPr>
              <w:t>-</w:t>
            </w:r>
            <w:r w:rsidRPr="000F0B8D">
              <w:rPr>
                <w:rFonts w:ascii="Arial" w:eastAsia="Arial" w:hAnsi="Arial" w:cs="Arial"/>
              </w:rPr>
              <w:t>based and outcomes focused approach</w:t>
            </w:r>
            <w:r>
              <w:rPr>
                <w:rFonts w:ascii="Arial" w:eastAsia="Arial" w:hAnsi="Arial" w:cs="Arial"/>
              </w:rPr>
              <w:t xml:space="preserve"> </w:t>
            </w:r>
            <w:r>
              <w:rPr>
                <w:rFonts w:ascii="Arial" w:eastAsia="Arial" w:hAnsi="Arial" w:cs="Arial"/>
              </w:rPr>
              <w:lastRenderedPageBreak/>
              <w:t>across our whole local system.</w:t>
            </w:r>
          </w:p>
          <w:p w14:paraId="4B95F267" w14:textId="77777777" w:rsidR="00A13BE2" w:rsidRDefault="00A13BE2" w:rsidP="00A13BE2">
            <w:pPr>
              <w:widowControl w:val="0"/>
              <w:rPr>
                <w:rFonts w:ascii="Arial" w:eastAsia="Arial" w:hAnsi="Arial" w:cs="Arial"/>
              </w:rPr>
            </w:pPr>
          </w:p>
          <w:p w14:paraId="52812F0F" w14:textId="77777777" w:rsidR="00A13BE2" w:rsidRDefault="00A13BE2" w:rsidP="00A13BE2">
            <w:pPr>
              <w:widowControl w:val="0"/>
              <w:rPr>
                <w:rFonts w:ascii="Arial" w:eastAsia="Arial" w:hAnsi="Arial" w:cs="Arial"/>
              </w:rPr>
            </w:pPr>
            <w:r>
              <w:rPr>
                <w:rFonts w:ascii="Arial" w:eastAsia="Arial" w:hAnsi="Arial" w:cs="Arial"/>
              </w:rPr>
              <w:t>We support our organisation, local people and partners to look forward, using analysis and evidence to inform plans, manage risks appropriately, apply insight and develop the market to enable the right services for our local people. We drive change so people receive the right service for their need while ensuring the best possible value is achieved, being flexible to allow for different circumstances and applying our specialisms. We learn and adapt to deliver positive outcomes in efficient and consistent ways, constructively challenging how services are provided and working together to build on our strengths.</w:t>
            </w:r>
          </w:p>
          <w:p w14:paraId="40F743E4" w14:textId="77777777" w:rsidR="00A13BE2" w:rsidRDefault="00A13BE2" w:rsidP="00A13BE2">
            <w:pPr>
              <w:widowControl w:val="0"/>
              <w:rPr>
                <w:rFonts w:ascii="Arial" w:eastAsia="Arial" w:hAnsi="Arial" w:cs="Arial"/>
              </w:rPr>
            </w:pPr>
          </w:p>
          <w:p w14:paraId="68F45BD1" w14:textId="3004F52F" w:rsidR="00A13BE2" w:rsidRDefault="00A13BE2" w:rsidP="00A13BE2">
            <w:pPr>
              <w:widowControl w:val="0"/>
              <w:rPr>
                <w:rFonts w:ascii="Arial" w:eastAsia="Arial" w:hAnsi="Arial" w:cs="Arial"/>
              </w:rPr>
            </w:pPr>
            <w:r w:rsidRPr="00415141">
              <w:rPr>
                <w:rFonts w:ascii="Arial" w:eastAsia="Arial" w:hAnsi="Arial" w:cs="Arial"/>
              </w:rPr>
              <w:t>The postholder will lead on strategic commissioning activities</w:t>
            </w:r>
            <w:r>
              <w:rPr>
                <w:rFonts w:ascii="Arial" w:eastAsia="Arial" w:hAnsi="Arial" w:cs="Arial"/>
              </w:rPr>
              <w:t xml:space="preserve"> for Health, Education and Social Care</w:t>
            </w:r>
            <w:r w:rsidRPr="00415141">
              <w:rPr>
                <w:rFonts w:ascii="Arial" w:eastAsia="Arial" w:hAnsi="Arial" w:cs="Arial"/>
              </w:rPr>
              <w:t>, including developing services and new ways of working to meet the needs and deliver outcomes for people in Oxfordshire.</w:t>
            </w:r>
            <w:r>
              <w:rPr>
                <w:rFonts w:ascii="Arial" w:eastAsia="Arial" w:hAnsi="Arial" w:cs="Arial"/>
              </w:rPr>
              <w:t xml:space="preserve"> They </w:t>
            </w:r>
            <w:r w:rsidRPr="00415141">
              <w:rPr>
                <w:rFonts w:ascii="Arial" w:eastAsia="Arial" w:hAnsi="Arial" w:cs="Arial"/>
              </w:rPr>
              <w:t>will be primarily aligned to one of the following tiers of need</w:t>
            </w:r>
            <w:r>
              <w:rPr>
                <w:rFonts w:ascii="Arial" w:eastAsia="Arial" w:hAnsi="Arial" w:cs="Arial"/>
              </w:rPr>
              <w:t xml:space="preserve">, as well as </w:t>
            </w:r>
            <w:r w:rsidRPr="00096298">
              <w:rPr>
                <w:rFonts w:ascii="Arial" w:eastAsia="Arial" w:hAnsi="Arial" w:cs="Arial"/>
              </w:rPr>
              <w:t>tak</w:t>
            </w:r>
            <w:r>
              <w:rPr>
                <w:rFonts w:ascii="Arial" w:eastAsia="Arial" w:hAnsi="Arial" w:cs="Arial"/>
              </w:rPr>
              <w:t>ing</w:t>
            </w:r>
            <w:r w:rsidRPr="00096298">
              <w:rPr>
                <w:rFonts w:ascii="Arial" w:eastAsia="Arial" w:hAnsi="Arial" w:cs="Arial"/>
              </w:rPr>
              <w:t xml:space="preserve"> lead responsibility for a specific life stage (Children, </w:t>
            </w:r>
            <w:r w:rsidR="0093547C">
              <w:rPr>
                <w:rFonts w:ascii="Arial" w:eastAsia="Arial" w:hAnsi="Arial" w:cs="Arial"/>
              </w:rPr>
              <w:t>W</w:t>
            </w:r>
            <w:r w:rsidRPr="00096298">
              <w:rPr>
                <w:rFonts w:ascii="Arial" w:eastAsia="Arial" w:hAnsi="Arial" w:cs="Arial"/>
              </w:rPr>
              <w:t xml:space="preserve">orking </w:t>
            </w:r>
            <w:r w:rsidR="0093547C">
              <w:rPr>
                <w:rFonts w:ascii="Arial" w:eastAsia="Arial" w:hAnsi="Arial" w:cs="Arial"/>
              </w:rPr>
              <w:t>A</w:t>
            </w:r>
            <w:r w:rsidRPr="00096298">
              <w:rPr>
                <w:rFonts w:ascii="Arial" w:eastAsia="Arial" w:hAnsi="Arial" w:cs="Arial"/>
              </w:rPr>
              <w:t xml:space="preserve">ge </w:t>
            </w:r>
            <w:r w:rsidR="0093547C">
              <w:rPr>
                <w:rFonts w:ascii="Arial" w:eastAsia="Arial" w:hAnsi="Arial" w:cs="Arial"/>
              </w:rPr>
              <w:t>A</w:t>
            </w:r>
            <w:r w:rsidRPr="00096298">
              <w:rPr>
                <w:rFonts w:ascii="Arial" w:eastAsia="Arial" w:hAnsi="Arial" w:cs="Arial"/>
              </w:rPr>
              <w:t xml:space="preserve">dults, </w:t>
            </w:r>
            <w:r w:rsidR="0093547C">
              <w:rPr>
                <w:rFonts w:ascii="Arial" w:eastAsia="Arial" w:hAnsi="Arial" w:cs="Arial"/>
              </w:rPr>
              <w:t>O</w:t>
            </w:r>
            <w:r w:rsidRPr="00096298">
              <w:rPr>
                <w:rFonts w:ascii="Arial" w:eastAsia="Arial" w:hAnsi="Arial" w:cs="Arial"/>
              </w:rPr>
              <w:t xml:space="preserve">lder </w:t>
            </w:r>
            <w:r w:rsidR="0093547C">
              <w:rPr>
                <w:rFonts w:ascii="Arial" w:eastAsia="Arial" w:hAnsi="Arial" w:cs="Arial"/>
              </w:rPr>
              <w:t>P</w:t>
            </w:r>
            <w:r w:rsidRPr="00096298">
              <w:rPr>
                <w:rFonts w:ascii="Arial" w:eastAsia="Arial" w:hAnsi="Arial" w:cs="Arial"/>
              </w:rPr>
              <w:t>eople)</w:t>
            </w:r>
            <w:r>
              <w:rPr>
                <w:rFonts w:ascii="Arial" w:eastAsia="Arial" w:hAnsi="Arial" w:cs="Arial"/>
              </w:rPr>
              <w:t xml:space="preserve">, </w:t>
            </w:r>
            <w:r w:rsidRPr="00096298">
              <w:rPr>
                <w:rFonts w:ascii="Arial" w:eastAsia="Arial" w:hAnsi="Arial" w:cs="Arial"/>
              </w:rPr>
              <w:t>work</w:t>
            </w:r>
            <w:r>
              <w:rPr>
                <w:rFonts w:ascii="Arial" w:eastAsia="Arial" w:hAnsi="Arial" w:cs="Arial"/>
              </w:rPr>
              <w:t>ing</w:t>
            </w:r>
            <w:r w:rsidRPr="00096298">
              <w:rPr>
                <w:rFonts w:ascii="Arial" w:eastAsia="Arial" w:hAnsi="Arial" w:cs="Arial"/>
              </w:rPr>
              <w:t xml:space="preserve"> closely with the relevant operational services and providers to ensure appropriate services are in place. </w:t>
            </w:r>
          </w:p>
          <w:p w14:paraId="0173408A" w14:textId="77777777" w:rsidR="00A13BE2" w:rsidRDefault="00A13BE2" w:rsidP="00A13BE2">
            <w:pPr>
              <w:widowControl w:val="0"/>
              <w:rPr>
                <w:rFonts w:ascii="Arial" w:eastAsia="Arial" w:hAnsi="Arial" w:cs="Arial"/>
              </w:rPr>
            </w:pPr>
          </w:p>
          <w:tbl>
            <w:tblPr>
              <w:tblStyle w:val="TableGrid"/>
              <w:tblW w:w="0" w:type="auto"/>
              <w:jc w:val="center"/>
              <w:tblLook w:val="04A0" w:firstRow="1" w:lastRow="0" w:firstColumn="1" w:lastColumn="0" w:noHBand="0" w:noVBand="1"/>
            </w:tblPr>
            <w:tblGrid>
              <w:gridCol w:w="1556"/>
              <w:gridCol w:w="8413"/>
            </w:tblGrid>
            <w:tr w:rsidR="00A13BE2" w14:paraId="00D6AC82" w14:textId="77777777" w:rsidTr="000C2C4B">
              <w:trPr>
                <w:jc w:val="center"/>
              </w:trPr>
              <w:tc>
                <w:tcPr>
                  <w:tcW w:w="1570" w:type="dxa"/>
                </w:tcPr>
                <w:p w14:paraId="3D7F98EB" w14:textId="77777777" w:rsidR="00A13BE2" w:rsidRPr="00EC2902" w:rsidRDefault="00A13BE2" w:rsidP="00A13BE2">
                  <w:pPr>
                    <w:widowControl w:val="0"/>
                    <w:spacing w:before="120" w:after="120"/>
                    <w:jc w:val="center"/>
                    <w:rPr>
                      <w:rFonts w:ascii="Arial" w:eastAsia="Arial" w:hAnsi="Arial" w:cs="Arial"/>
                      <w:b/>
                      <w:bCs/>
                    </w:rPr>
                  </w:pPr>
                  <w:r w:rsidRPr="00EC2902">
                    <w:rPr>
                      <w:rFonts w:ascii="Arial" w:eastAsia="Arial" w:hAnsi="Arial" w:cs="Arial"/>
                      <w:b/>
                      <w:bCs/>
                    </w:rPr>
                    <w:t>Tier of Need</w:t>
                  </w:r>
                </w:p>
              </w:tc>
              <w:tc>
                <w:tcPr>
                  <w:tcW w:w="8619" w:type="dxa"/>
                </w:tcPr>
                <w:p w14:paraId="631A3E58" w14:textId="77777777" w:rsidR="00A13BE2" w:rsidRPr="00EC2902" w:rsidRDefault="00A13BE2" w:rsidP="00A13BE2">
                  <w:pPr>
                    <w:widowControl w:val="0"/>
                    <w:spacing w:before="120" w:after="120"/>
                    <w:jc w:val="center"/>
                    <w:rPr>
                      <w:rFonts w:ascii="Arial" w:eastAsia="Arial" w:hAnsi="Arial" w:cs="Arial"/>
                      <w:b/>
                      <w:bCs/>
                    </w:rPr>
                  </w:pPr>
                  <w:r w:rsidRPr="00EC2902">
                    <w:rPr>
                      <w:rFonts w:ascii="Arial" w:eastAsia="Arial" w:hAnsi="Arial" w:cs="Arial"/>
                      <w:b/>
                      <w:bCs/>
                    </w:rPr>
                    <w:t>Description</w:t>
                  </w:r>
                </w:p>
              </w:tc>
            </w:tr>
            <w:tr w:rsidR="00A13BE2" w14:paraId="2580CBC5" w14:textId="77777777" w:rsidTr="000C2C4B">
              <w:trPr>
                <w:trHeight w:val="208"/>
                <w:jc w:val="center"/>
              </w:trPr>
              <w:tc>
                <w:tcPr>
                  <w:tcW w:w="1570" w:type="dxa"/>
                </w:tcPr>
                <w:p w14:paraId="46A4B857" w14:textId="77777777" w:rsidR="00A13BE2" w:rsidRPr="009E5B65" w:rsidRDefault="00A13BE2" w:rsidP="00A13BE2">
                  <w:pPr>
                    <w:widowControl w:val="0"/>
                    <w:spacing w:before="120" w:after="120"/>
                    <w:jc w:val="center"/>
                    <w:rPr>
                      <w:rFonts w:ascii="Arial" w:eastAsia="Arial" w:hAnsi="Arial" w:cs="Arial"/>
                      <w:b/>
                      <w:bCs/>
                    </w:rPr>
                  </w:pPr>
                  <w:r w:rsidRPr="009E5B65">
                    <w:rPr>
                      <w:rFonts w:ascii="Arial" w:eastAsia="Arial" w:hAnsi="Arial" w:cs="Arial"/>
                      <w:b/>
                      <w:bCs/>
                    </w:rPr>
                    <w:t>Promote and Prevent</w:t>
                  </w:r>
                </w:p>
              </w:tc>
              <w:tc>
                <w:tcPr>
                  <w:tcW w:w="8619" w:type="dxa"/>
                </w:tcPr>
                <w:p w14:paraId="3840B587" w14:textId="77777777" w:rsidR="00A13BE2" w:rsidRDefault="00A13BE2" w:rsidP="00A13BE2">
                  <w:pPr>
                    <w:widowControl w:val="0"/>
                    <w:spacing w:before="120" w:after="120"/>
                    <w:rPr>
                      <w:rFonts w:ascii="Arial" w:eastAsia="Arial" w:hAnsi="Arial" w:cs="Arial"/>
                    </w:rPr>
                  </w:pPr>
                  <w:r w:rsidRPr="00EC2902">
                    <w:rPr>
                      <w:rFonts w:ascii="Arial" w:eastAsia="Arial" w:hAnsi="Arial" w:cs="Arial"/>
                    </w:rPr>
                    <w:t>Working with the whole population to prevent health and care needs and build more resilient communities.</w:t>
                  </w:r>
                  <w:r>
                    <w:rPr>
                      <w:rFonts w:ascii="Arial" w:eastAsia="Arial" w:hAnsi="Arial" w:cs="Arial"/>
                    </w:rPr>
                    <w:t xml:space="preserve"> </w:t>
                  </w:r>
                  <w:r w:rsidRPr="00EC2902">
                    <w:rPr>
                      <w:rFonts w:ascii="Arial" w:eastAsia="Arial" w:hAnsi="Arial" w:cs="Arial"/>
                    </w:rPr>
                    <w:t xml:space="preserve">This can </w:t>
                  </w:r>
                  <w:r>
                    <w:rPr>
                      <w:rFonts w:ascii="Arial" w:eastAsia="Arial" w:hAnsi="Arial" w:cs="Arial"/>
                    </w:rPr>
                    <w:t>involve p</w:t>
                  </w:r>
                  <w:r w:rsidRPr="00EC2902">
                    <w:rPr>
                      <w:rFonts w:ascii="Arial" w:eastAsia="Arial" w:hAnsi="Arial" w:cs="Arial"/>
                    </w:rPr>
                    <w:t>romoting good health and wellbeing</w:t>
                  </w:r>
                  <w:r>
                    <w:rPr>
                      <w:rFonts w:ascii="Arial" w:eastAsia="Arial" w:hAnsi="Arial" w:cs="Arial"/>
                    </w:rPr>
                    <w:t>, p</w:t>
                  </w:r>
                  <w:r w:rsidRPr="00EC2902">
                    <w:rPr>
                      <w:rFonts w:ascii="Arial" w:eastAsia="Arial" w:hAnsi="Arial" w:cs="Arial"/>
                    </w:rPr>
                    <w:t>roviding early help to prevent needs from increasing</w:t>
                  </w:r>
                  <w:r>
                    <w:rPr>
                      <w:rFonts w:ascii="Arial" w:eastAsia="Arial" w:hAnsi="Arial" w:cs="Arial"/>
                    </w:rPr>
                    <w:t>, i</w:t>
                  </w:r>
                  <w:r w:rsidRPr="00EC2902">
                    <w:rPr>
                      <w:rFonts w:ascii="Arial" w:eastAsia="Arial" w:hAnsi="Arial" w:cs="Arial"/>
                    </w:rPr>
                    <w:t>mproving self-care so people are better able to manage their own lives and conditions</w:t>
                  </w:r>
                  <w:r>
                    <w:rPr>
                      <w:rFonts w:ascii="Arial" w:eastAsia="Arial" w:hAnsi="Arial" w:cs="Arial"/>
                    </w:rPr>
                    <w:t>, and t</w:t>
                  </w:r>
                  <w:r w:rsidRPr="00EC2902">
                    <w:rPr>
                      <w:rFonts w:ascii="Arial" w:eastAsia="Arial" w:hAnsi="Arial" w:cs="Arial"/>
                    </w:rPr>
                    <w:t>ackling health &amp; social inequalities and wider issues.</w:t>
                  </w:r>
                </w:p>
              </w:tc>
            </w:tr>
            <w:tr w:rsidR="00A13BE2" w14:paraId="5CD1ADA4" w14:textId="77777777" w:rsidTr="000C2C4B">
              <w:trPr>
                <w:jc w:val="center"/>
              </w:trPr>
              <w:tc>
                <w:tcPr>
                  <w:tcW w:w="1570" w:type="dxa"/>
                </w:tcPr>
                <w:p w14:paraId="5916023B" w14:textId="77777777" w:rsidR="00A13BE2" w:rsidRPr="009E5B65" w:rsidRDefault="00A13BE2" w:rsidP="00A13BE2">
                  <w:pPr>
                    <w:widowControl w:val="0"/>
                    <w:spacing w:before="120" w:after="120"/>
                    <w:jc w:val="center"/>
                    <w:rPr>
                      <w:rFonts w:ascii="Arial" w:eastAsia="Arial" w:hAnsi="Arial" w:cs="Arial"/>
                      <w:b/>
                      <w:bCs/>
                    </w:rPr>
                  </w:pPr>
                  <w:r w:rsidRPr="009E5B65">
                    <w:rPr>
                      <w:rFonts w:ascii="Arial" w:eastAsia="Arial" w:hAnsi="Arial" w:cs="Arial"/>
                      <w:b/>
                      <w:bCs/>
                    </w:rPr>
                    <w:t>Improve and Enable</w:t>
                  </w:r>
                </w:p>
              </w:tc>
              <w:tc>
                <w:tcPr>
                  <w:tcW w:w="8619" w:type="dxa"/>
                </w:tcPr>
                <w:p w14:paraId="3C607E15" w14:textId="77777777" w:rsidR="00A13BE2" w:rsidRDefault="00A13BE2" w:rsidP="00A13BE2">
                  <w:pPr>
                    <w:widowControl w:val="0"/>
                    <w:spacing w:before="120" w:after="120"/>
                    <w:rPr>
                      <w:rFonts w:ascii="Arial" w:eastAsia="Arial" w:hAnsi="Arial" w:cs="Arial"/>
                    </w:rPr>
                  </w:pPr>
                  <w:r w:rsidRPr="00EC2902">
                    <w:rPr>
                      <w:rFonts w:ascii="Arial" w:eastAsia="Arial" w:hAnsi="Arial" w:cs="Arial"/>
                    </w:rPr>
                    <w:t>Offering proactive and targeted support for people who are more vulnerable, reducing their needs or delaying or preventing the need for more intensive support.</w:t>
                  </w:r>
                  <w:r>
                    <w:rPr>
                      <w:rFonts w:ascii="Arial" w:eastAsia="Arial" w:hAnsi="Arial" w:cs="Arial"/>
                    </w:rPr>
                    <w:t xml:space="preserve"> </w:t>
                  </w:r>
                  <w:r w:rsidRPr="00EC2902">
                    <w:rPr>
                      <w:rFonts w:ascii="Arial" w:eastAsia="Arial" w:hAnsi="Arial" w:cs="Arial"/>
                    </w:rPr>
                    <w:t xml:space="preserve">This can </w:t>
                  </w:r>
                  <w:r>
                    <w:rPr>
                      <w:rFonts w:ascii="Arial" w:eastAsia="Arial" w:hAnsi="Arial" w:cs="Arial"/>
                    </w:rPr>
                    <w:t>involve m</w:t>
                  </w:r>
                  <w:r w:rsidRPr="00EC2902">
                    <w:rPr>
                      <w:rFonts w:ascii="Arial" w:eastAsia="Arial" w:hAnsi="Arial" w:cs="Arial"/>
                    </w:rPr>
                    <w:t>aximising independence and community support</w:t>
                  </w:r>
                  <w:r>
                    <w:rPr>
                      <w:rFonts w:ascii="Arial" w:eastAsia="Arial" w:hAnsi="Arial" w:cs="Arial"/>
                    </w:rPr>
                    <w:t>, e</w:t>
                  </w:r>
                  <w:r w:rsidRPr="00EC2902">
                    <w:rPr>
                      <w:rFonts w:ascii="Arial" w:eastAsia="Arial" w:hAnsi="Arial" w:cs="Arial"/>
                    </w:rPr>
                    <w:t>nabling recovery from ill health or poor life event</w:t>
                  </w:r>
                  <w:r>
                    <w:rPr>
                      <w:rFonts w:ascii="Arial" w:eastAsia="Arial" w:hAnsi="Arial" w:cs="Arial"/>
                    </w:rPr>
                    <w:t>, and p</w:t>
                  </w:r>
                  <w:r w:rsidRPr="00EC2902">
                    <w:rPr>
                      <w:rFonts w:ascii="Arial" w:eastAsia="Arial" w:hAnsi="Arial" w:cs="Arial"/>
                    </w:rPr>
                    <w:t>roviding targeted proportionate care and interventions at moments of crisis.</w:t>
                  </w:r>
                </w:p>
              </w:tc>
            </w:tr>
            <w:tr w:rsidR="00A13BE2" w14:paraId="51A8368A" w14:textId="77777777" w:rsidTr="000C2C4B">
              <w:trPr>
                <w:jc w:val="center"/>
              </w:trPr>
              <w:tc>
                <w:tcPr>
                  <w:tcW w:w="1570" w:type="dxa"/>
                </w:tcPr>
                <w:p w14:paraId="72FF4763" w14:textId="77777777" w:rsidR="00A13BE2" w:rsidRPr="009E5B65" w:rsidRDefault="00A13BE2" w:rsidP="00A13BE2">
                  <w:pPr>
                    <w:widowControl w:val="0"/>
                    <w:spacing w:before="120" w:after="120"/>
                    <w:jc w:val="center"/>
                    <w:rPr>
                      <w:rFonts w:ascii="Arial" w:eastAsia="Arial" w:hAnsi="Arial" w:cs="Arial"/>
                      <w:b/>
                      <w:bCs/>
                    </w:rPr>
                  </w:pPr>
                  <w:r w:rsidRPr="009E5B65">
                    <w:rPr>
                      <w:rFonts w:ascii="Arial" w:eastAsia="Arial" w:hAnsi="Arial" w:cs="Arial"/>
                      <w:b/>
                      <w:bCs/>
                    </w:rPr>
                    <w:t>Support and Protect</w:t>
                  </w:r>
                </w:p>
              </w:tc>
              <w:tc>
                <w:tcPr>
                  <w:tcW w:w="8619" w:type="dxa"/>
                </w:tcPr>
                <w:p w14:paraId="4662A6DD" w14:textId="77777777" w:rsidR="00A13BE2" w:rsidRDefault="00A13BE2" w:rsidP="00A13BE2">
                  <w:pPr>
                    <w:widowControl w:val="0"/>
                    <w:spacing w:before="120" w:after="120"/>
                    <w:rPr>
                      <w:rFonts w:ascii="Arial" w:eastAsia="Arial" w:hAnsi="Arial" w:cs="Arial"/>
                    </w:rPr>
                  </w:pPr>
                  <w:r w:rsidRPr="00EC2902">
                    <w:rPr>
                      <w:rFonts w:ascii="Arial" w:eastAsia="Arial" w:hAnsi="Arial" w:cs="Arial"/>
                    </w:rPr>
                    <w:t>Providing support to people with long-term or chronic conditions, or those who are highly vulnerable. This will help to manage their needs and support them to live their best lives.</w:t>
                  </w:r>
                  <w:r>
                    <w:rPr>
                      <w:rFonts w:ascii="Arial" w:eastAsia="Arial" w:hAnsi="Arial" w:cs="Arial"/>
                    </w:rPr>
                    <w:t xml:space="preserve"> </w:t>
                  </w:r>
                  <w:r w:rsidRPr="00EC2902">
                    <w:rPr>
                      <w:rFonts w:ascii="Arial" w:eastAsia="Arial" w:hAnsi="Arial" w:cs="Arial"/>
                    </w:rPr>
                    <w:t xml:space="preserve">This can </w:t>
                  </w:r>
                  <w:r>
                    <w:rPr>
                      <w:rFonts w:ascii="Arial" w:eastAsia="Arial" w:hAnsi="Arial" w:cs="Arial"/>
                    </w:rPr>
                    <w:t>involve p</w:t>
                  </w:r>
                  <w:r w:rsidRPr="00EC2902">
                    <w:rPr>
                      <w:rFonts w:ascii="Arial" w:eastAsia="Arial" w:hAnsi="Arial" w:cs="Arial"/>
                    </w:rPr>
                    <w:t>roviding access to specialist services they require</w:t>
                  </w:r>
                  <w:r>
                    <w:rPr>
                      <w:rFonts w:ascii="Arial" w:eastAsia="Arial" w:hAnsi="Arial" w:cs="Arial"/>
                    </w:rPr>
                    <w:t xml:space="preserve"> and c</w:t>
                  </w:r>
                  <w:r w:rsidRPr="00EC2902">
                    <w:rPr>
                      <w:rFonts w:ascii="Arial" w:eastAsia="Arial" w:hAnsi="Arial" w:cs="Arial"/>
                    </w:rPr>
                    <w:t>o-ordinating person-centred treatment and care in particular settings when people need it.</w:t>
                  </w:r>
                </w:p>
              </w:tc>
            </w:tr>
          </w:tbl>
          <w:p w14:paraId="3D412632" w14:textId="77777777" w:rsidR="00A13BE2" w:rsidRDefault="00A13BE2" w:rsidP="00A13BE2">
            <w:pPr>
              <w:widowControl w:val="0"/>
              <w:rPr>
                <w:rFonts w:ascii="Arial" w:eastAsia="Arial" w:hAnsi="Arial" w:cs="Arial"/>
              </w:rPr>
            </w:pPr>
          </w:p>
          <w:p w14:paraId="076332BF" w14:textId="77777777" w:rsidR="00A13BE2" w:rsidRDefault="00A13BE2" w:rsidP="00A13BE2">
            <w:pPr>
              <w:widowControl w:val="0"/>
              <w:rPr>
                <w:rFonts w:ascii="Arial" w:eastAsia="Arial" w:hAnsi="Arial" w:cs="Arial"/>
              </w:rPr>
            </w:pPr>
            <w:r w:rsidRPr="00415141">
              <w:rPr>
                <w:rFonts w:ascii="Arial" w:eastAsia="Arial" w:hAnsi="Arial" w:cs="Arial"/>
              </w:rPr>
              <w:t xml:space="preserve">The postholder will </w:t>
            </w:r>
            <w:r>
              <w:rPr>
                <w:rFonts w:ascii="Arial" w:eastAsia="Arial" w:hAnsi="Arial" w:cs="Arial"/>
              </w:rPr>
              <w:t xml:space="preserve">lead teams of Commissioning Officers and Support Officers through matrix management arrangements to deliver specific commissioning work, </w:t>
            </w:r>
            <w:r w:rsidRPr="00415141">
              <w:rPr>
                <w:rFonts w:ascii="Arial" w:eastAsia="Arial" w:hAnsi="Arial" w:cs="Arial"/>
              </w:rPr>
              <w:t>based on strategic priorities as determined by Lead Commissioners.</w:t>
            </w:r>
            <w:r>
              <w:rPr>
                <w:rFonts w:ascii="Arial" w:eastAsia="Arial" w:hAnsi="Arial" w:cs="Arial"/>
              </w:rPr>
              <w:t xml:space="preserve"> They will also line manage a number of Commissioning Officers and Support Officers for the purposes of performance management and workforce development.</w:t>
            </w:r>
          </w:p>
          <w:p w14:paraId="039E700E" w14:textId="77777777" w:rsidR="00A13BE2" w:rsidRDefault="00A13BE2" w:rsidP="00A13BE2">
            <w:pPr>
              <w:widowControl w:val="0"/>
              <w:rPr>
                <w:rFonts w:ascii="Arial" w:eastAsia="Arial" w:hAnsi="Arial" w:cs="Arial"/>
              </w:rPr>
            </w:pPr>
          </w:p>
          <w:p w14:paraId="703D7212" w14:textId="45C2C36E" w:rsidR="00A13BE2" w:rsidRDefault="00A13BE2" w:rsidP="00A13BE2">
            <w:pPr>
              <w:widowControl w:val="0"/>
              <w:rPr>
                <w:rFonts w:ascii="Arial" w:eastAsia="Arial" w:hAnsi="Arial" w:cs="Arial"/>
              </w:rPr>
            </w:pPr>
            <w:r>
              <w:rPr>
                <w:rFonts w:ascii="Arial" w:eastAsia="Arial" w:hAnsi="Arial" w:cs="Arial"/>
              </w:rPr>
              <w:t>The role will require joint working with other Council directorates, Health colleagues, providers, communities and other partners, therefore building effective working relationships and developing holistic opportunities is vital.</w:t>
            </w:r>
            <w:r w:rsidR="00964A65">
              <w:rPr>
                <w:rFonts w:ascii="Arial" w:eastAsia="Arial" w:hAnsi="Arial" w:cs="Arial"/>
              </w:rPr>
              <w:t xml:space="preserve"> This role will have a specific focus on the Mental Health Agenda and Transformation of Services; </w:t>
            </w:r>
            <w:r w:rsidR="0070013F">
              <w:rPr>
                <w:rFonts w:ascii="Arial" w:eastAsia="Arial" w:hAnsi="Arial" w:cs="Arial"/>
              </w:rPr>
              <w:t>however,</w:t>
            </w:r>
            <w:r w:rsidR="00964A65">
              <w:rPr>
                <w:rFonts w:ascii="Arial" w:eastAsia="Arial" w:hAnsi="Arial" w:cs="Arial"/>
              </w:rPr>
              <w:t xml:space="preserve"> involvement is other areas within the Live Well Portfolio will also be required at any time to include, but not limited to Learning Disabilities, Autism and Physical Disabilities.</w:t>
            </w:r>
          </w:p>
          <w:p w14:paraId="51BA6954" w14:textId="53C8C4FA" w:rsidR="00A13BE2" w:rsidRPr="00B0457A" w:rsidRDefault="00A13BE2" w:rsidP="00A13BE2"/>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201" w:type="dxa"/>
        <w:tblLook w:val="04A0" w:firstRow="1" w:lastRow="0" w:firstColumn="1" w:lastColumn="0" w:noHBand="0" w:noVBand="1"/>
      </w:tblPr>
      <w:tblGrid>
        <w:gridCol w:w="10201"/>
      </w:tblGrid>
      <w:tr w:rsidR="008243B8" w14:paraId="0AD07E7E" w14:textId="07E6D154" w:rsidTr="008243B8">
        <w:trPr>
          <w:trHeight w:val="859"/>
        </w:trPr>
        <w:tc>
          <w:tcPr>
            <w:tcW w:w="10201" w:type="dxa"/>
          </w:tcPr>
          <w:p w14:paraId="33BA170F" w14:textId="52C07F88" w:rsidR="008243B8" w:rsidRDefault="008243B8" w:rsidP="00A13BE2">
            <w:pPr>
              <w:pStyle w:val="ListBullet"/>
              <w:numPr>
                <w:ilvl w:val="0"/>
                <w:numId w:val="2"/>
              </w:numPr>
              <w:ind w:right="114"/>
              <w:rPr>
                <w:rFonts w:eastAsia="Arial" w:cs="Arial"/>
              </w:rPr>
            </w:pPr>
            <w:r w:rsidRPr="000708BD">
              <w:rPr>
                <w:rFonts w:eastAsia="Arial" w:cs="Arial"/>
              </w:rPr>
              <w:t>To identify and drive the development of strategic opportunities across services for Health, Education and Social Care, supporting the delivery of strategies and outcomes across Oxfordshire for their primary tier of need.</w:t>
            </w:r>
          </w:p>
          <w:p w14:paraId="3DE96B6F" w14:textId="77777777" w:rsidR="008243B8" w:rsidRDefault="008243B8" w:rsidP="00940E39">
            <w:pPr>
              <w:pStyle w:val="ListBullet"/>
              <w:numPr>
                <w:ilvl w:val="0"/>
                <w:numId w:val="0"/>
              </w:numPr>
              <w:ind w:left="720" w:right="114"/>
              <w:rPr>
                <w:rFonts w:eastAsia="Arial" w:cs="Arial"/>
              </w:rPr>
            </w:pPr>
          </w:p>
          <w:p w14:paraId="0513727E" w14:textId="732A4855" w:rsidR="008243B8" w:rsidRDefault="008243B8" w:rsidP="00A13BE2">
            <w:pPr>
              <w:pStyle w:val="ListBullet"/>
              <w:numPr>
                <w:ilvl w:val="0"/>
                <w:numId w:val="2"/>
              </w:numPr>
              <w:ind w:right="114"/>
              <w:rPr>
                <w:rFonts w:eastAsia="Arial" w:cs="Arial"/>
              </w:rPr>
            </w:pPr>
            <w:r w:rsidRPr="000708BD">
              <w:rPr>
                <w:rFonts w:eastAsia="Arial" w:cs="Arial"/>
              </w:rPr>
              <w:t xml:space="preserve">To engage with colleagues across the Council, Health and other partners to identify and develop the opportunities for joint commissioning, service enhancements, innovation and efficiencies. </w:t>
            </w:r>
          </w:p>
          <w:p w14:paraId="561C0FA8" w14:textId="15A2BF63" w:rsidR="008243B8" w:rsidRDefault="008243B8" w:rsidP="00A13BE2">
            <w:pPr>
              <w:pStyle w:val="ListBullet"/>
              <w:numPr>
                <w:ilvl w:val="0"/>
                <w:numId w:val="2"/>
              </w:numPr>
              <w:ind w:right="114"/>
              <w:rPr>
                <w:rFonts w:eastAsia="Arial" w:cs="Arial"/>
              </w:rPr>
            </w:pPr>
            <w:r w:rsidRPr="000708BD">
              <w:rPr>
                <w:rFonts w:eastAsia="Arial" w:cs="Arial"/>
              </w:rPr>
              <w:t>To define and agree outcomes, service needs, approaches, performance targets and other requirements which ensure services contribute to the strategic aims, quality and value of the council and its partners.</w:t>
            </w:r>
          </w:p>
          <w:p w14:paraId="0D918F9A" w14:textId="63BE78DC" w:rsidR="008243B8" w:rsidRDefault="008243B8" w:rsidP="00A13BE2">
            <w:pPr>
              <w:pStyle w:val="ListBullet"/>
              <w:numPr>
                <w:ilvl w:val="0"/>
                <w:numId w:val="2"/>
              </w:numPr>
              <w:ind w:right="114"/>
              <w:rPr>
                <w:rFonts w:eastAsia="Arial" w:cs="Arial"/>
              </w:rPr>
            </w:pPr>
            <w:r w:rsidRPr="000708BD">
              <w:rPr>
                <w:rFonts w:eastAsia="Arial" w:cs="Arial"/>
              </w:rPr>
              <w:t>To apply research, analysis, knowledge and expertise to develop and influence strategies and make evidence-based commissioning decisions which deliver outcomes, quality and value for the people of Oxfordshire.</w:t>
            </w:r>
          </w:p>
          <w:p w14:paraId="243ECC2E" w14:textId="2D2E8BD3" w:rsidR="008243B8" w:rsidRDefault="008243B8" w:rsidP="00A13BE2">
            <w:pPr>
              <w:pStyle w:val="ListBullet"/>
              <w:numPr>
                <w:ilvl w:val="0"/>
                <w:numId w:val="2"/>
              </w:numPr>
              <w:ind w:right="114"/>
              <w:rPr>
                <w:rFonts w:eastAsia="Arial" w:cs="Arial"/>
              </w:rPr>
            </w:pPr>
            <w:r w:rsidRPr="000708BD">
              <w:rPr>
                <w:rFonts w:eastAsia="Arial" w:cs="Arial"/>
              </w:rPr>
              <w:t>To promote and enable collaboration, co-production and the voice of the service user throughout the commissioning cycle.</w:t>
            </w:r>
          </w:p>
          <w:p w14:paraId="182BD442" w14:textId="77777777" w:rsidR="008243B8" w:rsidRPr="000708BD" w:rsidRDefault="008243B8" w:rsidP="00A13BE2">
            <w:pPr>
              <w:pStyle w:val="ListBullet"/>
              <w:numPr>
                <w:ilvl w:val="0"/>
                <w:numId w:val="2"/>
              </w:numPr>
              <w:ind w:right="114"/>
              <w:rPr>
                <w:rFonts w:eastAsia="Arial" w:cs="Arial"/>
              </w:rPr>
            </w:pPr>
            <w:r w:rsidRPr="000708BD">
              <w:rPr>
                <w:rFonts w:eastAsia="Arial" w:cs="Arial"/>
              </w:rPr>
              <w:t>To ensure compliance with all legislation and government guidance as they affect services in their primary tier of need, including financial, procurement and other regulations, as well as supporting consideration across all tiers.</w:t>
            </w:r>
          </w:p>
          <w:p w14:paraId="647AAFC2" w14:textId="77777777" w:rsidR="008243B8" w:rsidRPr="000708BD" w:rsidRDefault="008243B8" w:rsidP="00A13BE2">
            <w:pPr>
              <w:pStyle w:val="ListBullet"/>
              <w:numPr>
                <w:ilvl w:val="0"/>
                <w:numId w:val="2"/>
              </w:numPr>
              <w:ind w:right="114"/>
              <w:rPr>
                <w:rFonts w:eastAsia="Arial" w:cs="Arial"/>
              </w:rPr>
            </w:pPr>
            <w:r w:rsidRPr="000708BD">
              <w:rPr>
                <w:rFonts w:eastAsia="Arial" w:cs="Arial"/>
              </w:rPr>
              <w:t>To connect strategies, services and relevant commissioning opportunities across the council, Health and other partners for their relevant Tier of Need, as well as informing similar activities across other tiers.</w:t>
            </w:r>
          </w:p>
          <w:p w14:paraId="51B57FC4" w14:textId="77777777" w:rsidR="008243B8" w:rsidRPr="000708BD" w:rsidRDefault="008243B8" w:rsidP="00A13BE2">
            <w:pPr>
              <w:pStyle w:val="ListBullet"/>
              <w:numPr>
                <w:ilvl w:val="0"/>
                <w:numId w:val="2"/>
              </w:numPr>
              <w:ind w:right="114"/>
              <w:rPr>
                <w:rFonts w:eastAsia="Arial" w:cs="Arial"/>
              </w:rPr>
            </w:pPr>
            <w:r w:rsidRPr="000708BD">
              <w:rPr>
                <w:rFonts w:eastAsia="Arial" w:cs="Arial"/>
              </w:rPr>
              <w:t>To prepare and co-ordinate plans for commissioning, procurement and contract management activities, managing priorities and the use of commissioning resources to deliver the strategic objectives of the council and partners.</w:t>
            </w:r>
          </w:p>
          <w:p w14:paraId="3AF35753" w14:textId="77777777" w:rsidR="008243B8" w:rsidRPr="000708BD" w:rsidRDefault="008243B8" w:rsidP="00A13BE2">
            <w:pPr>
              <w:pStyle w:val="ListBullet"/>
              <w:numPr>
                <w:ilvl w:val="0"/>
                <w:numId w:val="2"/>
              </w:numPr>
              <w:ind w:right="114"/>
              <w:rPr>
                <w:rFonts w:eastAsia="Arial" w:cs="Arial"/>
              </w:rPr>
            </w:pPr>
            <w:r w:rsidRPr="000708BD">
              <w:rPr>
                <w:rFonts w:eastAsia="Arial" w:cs="Arial"/>
              </w:rPr>
              <w:t>To manage relationships and ensure all relevant stakeholders contribute to strategies and service proposals that will deliver the required outcomes, quality and value.</w:t>
            </w:r>
          </w:p>
          <w:p w14:paraId="2469CBD1" w14:textId="77777777" w:rsidR="008243B8" w:rsidRPr="000708BD" w:rsidRDefault="008243B8" w:rsidP="00A13BE2">
            <w:pPr>
              <w:pStyle w:val="ListBullet"/>
              <w:numPr>
                <w:ilvl w:val="0"/>
                <w:numId w:val="2"/>
              </w:numPr>
              <w:ind w:right="114"/>
              <w:rPr>
                <w:rFonts w:eastAsia="Arial" w:cs="Arial"/>
              </w:rPr>
            </w:pPr>
            <w:r w:rsidRPr="000708BD">
              <w:rPr>
                <w:rFonts w:eastAsia="Arial" w:cs="Arial"/>
              </w:rPr>
              <w:t>To work with the corporate Hub and other stakeholders to lead day-to-day relationships and activities for procurement and contract mobilisation related to their primary tier of need and other priorities.</w:t>
            </w:r>
          </w:p>
          <w:p w14:paraId="09BCE167" w14:textId="34150681" w:rsidR="008243B8" w:rsidRDefault="008243B8" w:rsidP="00A13BE2">
            <w:pPr>
              <w:pStyle w:val="ListBullet"/>
              <w:numPr>
                <w:ilvl w:val="0"/>
                <w:numId w:val="2"/>
              </w:numPr>
              <w:ind w:right="114"/>
              <w:rPr>
                <w:rFonts w:eastAsia="Arial" w:cs="Arial"/>
              </w:rPr>
            </w:pPr>
            <w:r w:rsidRPr="000708BD">
              <w:rPr>
                <w:rFonts w:eastAsia="Arial" w:cs="Arial"/>
              </w:rPr>
              <w:t>To work with the Quality and Improvement managers and corporate Hub to facilitate effective contract management, quality assurance, commercial opportunities and sustainability for their areas of responsibility.</w:t>
            </w:r>
          </w:p>
          <w:p w14:paraId="2E1FE30B" w14:textId="07ECA29B" w:rsidR="008243B8" w:rsidRDefault="008243B8" w:rsidP="00A13BE2">
            <w:pPr>
              <w:pStyle w:val="ListBullet"/>
              <w:numPr>
                <w:ilvl w:val="0"/>
                <w:numId w:val="2"/>
              </w:numPr>
              <w:ind w:right="114"/>
              <w:rPr>
                <w:rFonts w:eastAsia="Arial" w:cs="Arial"/>
              </w:rPr>
            </w:pPr>
            <w:r w:rsidRPr="000708BD">
              <w:rPr>
                <w:rFonts w:eastAsia="Arial" w:cs="Arial"/>
              </w:rPr>
              <w:t>To work with the Quality and Improvement managers to inform and facilitate effective market shaping and development which will meet the current and future needs of the Council and partners.</w:t>
            </w:r>
          </w:p>
          <w:p w14:paraId="1855E06F" w14:textId="46E1B7A8" w:rsidR="008243B8" w:rsidRDefault="008243B8" w:rsidP="00A13BE2">
            <w:pPr>
              <w:pStyle w:val="ListBullet"/>
              <w:numPr>
                <w:ilvl w:val="0"/>
                <w:numId w:val="2"/>
              </w:numPr>
              <w:ind w:right="114"/>
              <w:rPr>
                <w:rFonts w:eastAsia="Arial" w:cs="Arial"/>
              </w:rPr>
            </w:pPr>
            <w:r w:rsidRPr="000708BD">
              <w:rPr>
                <w:rFonts w:eastAsia="Arial" w:cs="Arial"/>
              </w:rPr>
              <w:t>To drive the delivery of relevant commissioning projects and change management, ensuring the effective and efficient delivery of the required outcomes and benefits.</w:t>
            </w:r>
          </w:p>
          <w:p w14:paraId="318FC815" w14:textId="688A5D77" w:rsidR="008243B8" w:rsidRDefault="008243B8" w:rsidP="00A13BE2">
            <w:pPr>
              <w:pStyle w:val="ListBullet"/>
              <w:numPr>
                <w:ilvl w:val="0"/>
                <w:numId w:val="2"/>
              </w:numPr>
              <w:ind w:right="114"/>
              <w:rPr>
                <w:rFonts w:eastAsia="Arial" w:cs="Arial"/>
              </w:rPr>
            </w:pPr>
            <w:r w:rsidRPr="000708BD">
              <w:rPr>
                <w:rFonts w:eastAsia="Arial" w:cs="Arial"/>
              </w:rPr>
              <w:t xml:space="preserve">To line manage Commissioning Officers and </w:t>
            </w:r>
            <w:r>
              <w:rPr>
                <w:rFonts w:eastAsia="Arial" w:cs="Arial"/>
              </w:rPr>
              <w:t>Support Officer</w:t>
            </w:r>
            <w:r w:rsidRPr="000708BD">
              <w:rPr>
                <w:rFonts w:eastAsia="Arial" w:cs="Arial"/>
              </w:rPr>
              <w:t>s, ensuring their team has the relevant capabilities, capacity and culture to deliver commissioning priorities efficiently and effectively.</w:t>
            </w:r>
          </w:p>
          <w:p w14:paraId="6C2A3FA6" w14:textId="77777777" w:rsidR="0093547C" w:rsidRDefault="008243B8" w:rsidP="00A13BE2">
            <w:pPr>
              <w:pStyle w:val="ListBullet"/>
              <w:numPr>
                <w:ilvl w:val="0"/>
                <w:numId w:val="2"/>
              </w:numPr>
              <w:ind w:right="114"/>
              <w:rPr>
                <w:rFonts w:eastAsia="Arial" w:cs="Arial"/>
              </w:rPr>
            </w:pPr>
            <w:r w:rsidRPr="000708BD">
              <w:rPr>
                <w:rFonts w:eastAsia="Arial" w:cs="Arial"/>
              </w:rPr>
              <w:t>To be responsible for effective commercial management for their primary tier of need, managing allocated budgets and ensuring appropriate commercial arrangements are in place to support quality and value of services.</w:t>
            </w:r>
          </w:p>
          <w:p w14:paraId="07B3765D" w14:textId="77F77AAD" w:rsidR="008243B8" w:rsidRPr="0093547C" w:rsidRDefault="008243B8" w:rsidP="00A13BE2">
            <w:pPr>
              <w:pStyle w:val="ListBullet"/>
              <w:numPr>
                <w:ilvl w:val="0"/>
                <w:numId w:val="2"/>
              </w:numPr>
              <w:ind w:right="114"/>
              <w:rPr>
                <w:rFonts w:eastAsia="Arial" w:cs="Arial"/>
              </w:rPr>
            </w:pPr>
            <w:r w:rsidRPr="0093547C">
              <w:rPr>
                <w:rFonts w:eastAsia="Arial" w:cs="Arial"/>
              </w:rPr>
              <w:t>To undertake any other duties commensurate with the grading of the post.</w:t>
            </w:r>
          </w:p>
        </w:tc>
      </w:tr>
    </w:tbl>
    <w:p w14:paraId="6682B29B" w14:textId="77777777" w:rsidR="00042E71" w:rsidRPr="00FC4D27" w:rsidRDefault="00042E71" w:rsidP="00042E71">
      <w:pPr>
        <w:tabs>
          <w:tab w:val="left" w:pos="726"/>
        </w:tabs>
        <w:sectPr w:rsidR="00042E71" w:rsidRPr="00FC4D27" w:rsidSect="000C2C4B">
          <w:headerReference w:type="first" r:id="rId11"/>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28D615A4" w:rsidR="00114762"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3808ED13" w14:textId="77777777" w:rsidR="00A13BE2" w:rsidRPr="009F0647" w:rsidRDefault="00A13BE2" w:rsidP="00114762">
      <w:pPr>
        <w:jc w:val="both"/>
        <w:rPr>
          <w:rFonts w:ascii="Arial" w:hAnsi="Arial" w:cs="Arial"/>
          <w:bCs/>
        </w:rPr>
      </w:pPr>
    </w:p>
    <w:tbl>
      <w:tblPr>
        <w:tblStyle w:val="TableGridLight"/>
        <w:tblW w:w="4934" w:type="pct"/>
        <w:tblLook w:val="01E0" w:firstRow="1" w:lastRow="1" w:firstColumn="1" w:lastColumn="1" w:noHBand="0" w:noVBand="0"/>
      </w:tblPr>
      <w:tblGrid>
        <w:gridCol w:w="8074"/>
        <w:gridCol w:w="1986"/>
      </w:tblGrid>
      <w:tr w:rsidR="008243B8" w:rsidRPr="009F0647" w14:paraId="4C16A814" w14:textId="4C48AC2D" w:rsidTr="0093547C">
        <w:trPr>
          <w:trHeight w:val="80"/>
        </w:trPr>
        <w:tc>
          <w:tcPr>
            <w:tcW w:w="4013" w:type="pct"/>
          </w:tcPr>
          <w:bookmarkEnd w:id="1"/>
          <w:p w14:paraId="0EA7E8DB" w14:textId="77777777" w:rsidR="008243B8" w:rsidRPr="009F0647" w:rsidRDefault="008243B8" w:rsidP="000C2C4B">
            <w:pPr>
              <w:pStyle w:val="Heading3"/>
              <w:rPr>
                <w:rFonts w:cs="Arial"/>
              </w:rPr>
            </w:pPr>
            <w:r w:rsidRPr="009F0647">
              <w:rPr>
                <w:rFonts w:cs="Arial"/>
              </w:rPr>
              <w:t>Essential Criteria</w:t>
            </w:r>
          </w:p>
        </w:tc>
        <w:tc>
          <w:tcPr>
            <w:tcW w:w="987" w:type="pct"/>
          </w:tcPr>
          <w:p w14:paraId="5A9CCAA3" w14:textId="77777777" w:rsidR="008243B8" w:rsidRPr="009F0647" w:rsidRDefault="008243B8" w:rsidP="00A405EF">
            <w:pPr>
              <w:pStyle w:val="Heading3"/>
            </w:pPr>
            <w:r w:rsidRPr="009F0647">
              <w:t>Assessed By:</w:t>
            </w:r>
          </w:p>
        </w:tc>
      </w:tr>
      <w:tr w:rsidR="008243B8" w:rsidRPr="00A13BE2" w14:paraId="5A5B663D" w14:textId="395D2C27" w:rsidTr="0093547C">
        <w:tc>
          <w:tcPr>
            <w:tcW w:w="4013" w:type="pct"/>
            <w:vAlign w:val="center"/>
          </w:tcPr>
          <w:p w14:paraId="1C3AF171" w14:textId="72FD506E"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A degree level or equivalent qualification or relevant professional experience commensurate with the role</w:t>
            </w:r>
          </w:p>
        </w:tc>
        <w:tc>
          <w:tcPr>
            <w:tcW w:w="987" w:type="pct"/>
          </w:tcPr>
          <w:p w14:paraId="1C4D3E4A" w14:textId="5FF892C8"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3F9D28AE" w14:textId="5FECE8A1" w:rsidTr="0093547C">
        <w:tc>
          <w:tcPr>
            <w:tcW w:w="4013" w:type="pct"/>
            <w:vAlign w:val="center"/>
          </w:tcPr>
          <w:p w14:paraId="7F6E0554" w14:textId="534A2BD0"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Commissioning work experience spanning at least 3 years (preferably in local government or the wider public sector), with demonstrable impact across the full commissioning cycle.</w:t>
            </w:r>
          </w:p>
        </w:tc>
        <w:tc>
          <w:tcPr>
            <w:tcW w:w="987" w:type="pct"/>
          </w:tcPr>
          <w:p w14:paraId="3ACF592F" w14:textId="20C90612"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26CC1E89" w14:textId="4627B417" w:rsidTr="0093547C">
        <w:tc>
          <w:tcPr>
            <w:tcW w:w="4013" w:type="pct"/>
            <w:vAlign w:val="center"/>
          </w:tcPr>
          <w:p w14:paraId="0B2E756E" w14:textId="400F06DD"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Demonstrable experience of successfully leading teams, managing resources, and project management to deliver outcomes, quality, and value in the public sector.</w:t>
            </w:r>
          </w:p>
        </w:tc>
        <w:tc>
          <w:tcPr>
            <w:tcW w:w="987" w:type="pct"/>
          </w:tcPr>
          <w:p w14:paraId="105BA4C0" w14:textId="5B3821AC"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1B292C93" w14:textId="0DF34D58" w:rsidTr="0093547C">
        <w:tc>
          <w:tcPr>
            <w:tcW w:w="4013" w:type="pct"/>
            <w:vAlign w:val="center"/>
          </w:tcPr>
          <w:p w14:paraId="7FBC3DDD" w14:textId="2BCB5FEB"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 xml:space="preserve">Ability to drive innovation, new ways of working and collaboration across a wide range of stakeholders, including other Council directorates, Health, providers and communities. </w:t>
            </w:r>
          </w:p>
        </w:tc>
        <w:tc>
          <w:tcPr>
            <w:tcW w:w="987" w:type="pct"/>
          </w:tcPr>
          <w:p w14:paraId="739E4E27" w14:textId="6701D4C4"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55A1407B" w14:textId="55B56971" w:rsidTr="0093547C">
        <w:tc>
          <w:tcPr>
            <w:tcW w:w="4013" w:type="pct"/>
            <w:vAlign w:val="center"/>
          </w:tcPr>
          <w:p w14:paraId="159FC75D" w14:textId="04358C13" w:rsidR="008243B8" w:rsidRPr="00A13BE2" w:rsidRDefault="008243B8" w:rsidP="00FE29EF">
            <w:pPr>
              <w:spacing w:before="120" w:after="120"/>
              <w:rPr>
                <w:rFonts w:ascii="Arial" w:hAnsi="Arial" w:cs="Arial"/>
                <w:noProof/>
                <w:szCs w:val="22"/>
              </w:rPr>
            </w:pPr>
            <w:r w:rsidRPr="00A13BE2">
              <w:rPr>
                <w:rFonts w:ascii="Arial" w:eastAsia="Verdana" w:hAnsi="Arial" w:cs="Arial"/>
                <w:szCs w:val="22"/>
              </w:rPr>
              <w:t>Experience of strategically shaping and developing markets to deliver current and future requirements, including building capacity and commercial partnerships.</w:t>
            </w:r>
          </w:p>
        </w:tc>
        <w:tc>
          <w:tcPr>
            <w:tcW w:w="987" w:type="pct"/>
          </w:tcPr>
          <w:p w14:paraId="2DB00AF6" w14:textId="244D1AFB"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5254FEB9" w14:textId="73EF7B1D" w:rsidTr="0093547C">
        <w:tc>
          <w:tcPr>
            <w:tcW w:w="4013" w:type="pct"/>
            <w:vAlign w:val="center"/>
          </w:tcPr>
          <w:p w14:paraId="2633829B" w14:textId="0660C066"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Demonstrable experience of commissioning services for the specific Tier of Need or portfolio area for this role.</w:t>
            </w:r>
          </w:p>
        </w:tc>
        <w:tc>
          <w:tcPr>
            <w:tcW w:w="987" w:type="pct"/>
          </w:tcPr>
          <w:p w14:paraId="21263892" w14:textId="4889CDBD" w:rsidR="008243B8" w:rsidRPr="00A13BE2" w:rsidRDefault="008243B8" w:rsidP="00A13BE2">
            <w:pPr>
              <w:spacing w:before="120" w:after="120"/>
              <w:jc w:val="both"/>
              <w:rPr>
                <w:rFonts w:ascii="Arial" w:hAnsi="Arial" w:cs="Arial"/>
                <w:noProof/>
                <w:szCs w:val="22"/>
              </w:rPr>
            </w:pPr>
            <w:r w:rsidRPr="00923532">
              <w:rPr>
                <w:rFonts w:ascii="Arial" w:eastAsia="Arial" w:hAnsi="Arial" w:cs="Arial"/>
                <w:sz w:val="20"/>
                <w:szCs w:val="20"/>
              </w:rPr>
              <w:t xml:space="preserve">A, I </w:t>
            </w:r>
          </w:p>
        </w:tc>
      </w:tr>
      <w:tr w:rsidR="008243B8" w:rsidRPr="00A13BE2" w14:paraId="0CD91B74" w14:textId="1DC9EA7F" w:rsidTr="0093547C">
        <w:trPr>
          <w:trHeight w:val="510"/>
        </w:trPr>
        <w:tc>
          <w:tcPr>
            <w:tcW w:w="4013" w:type="pct"/>
            <w:vAlign w:val="center"/>
          </w:tcPr>
          <w:p w14:paraId="21BCD633" w14:textId="4E2D9F43"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Detailed understanding of legislation, guidance and policies in relation to adults and children’s services (safeguarding in particular), as well as commissioning, procurement and contract management.</w:t>
            </w:r>
          </w:p>
        </w:tc>
        <w:tc>
          <w:tcPr>
            <w:tcW w:w="987" w:type="pct"/>
          </w:tcPr>
          <w:p w14:paraId="647237F2" w14:textId="36D20C13"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1B8FC6BF" w14:textId="37395BE3" w:rsidTr="0093547C">
        <w:trPr>
          <w:trHeight w:val="510"/>
        </w:trPr>
        <w:tc>
          <w:tcPr>
            <w:tcW w:w="4013" w:type="pct"/>
            <w:vAlign w:val="center"/>
          </w:tcPr>
          <w:p w14:paraId="7FFEF120" w14:textId="0CAD3C24" w:rsidR="008243B8" w:rsidRPr="00A13BE2" w:rsidRDefault="008243B8" w:rsidP="00A13BE2">
            <w:pPr>
              <w:spacing w:before="120" w:after="120"/>
              <w:jc w:val="both"/>
              <w:rPr>
                <w:rFonts w:ascii="Arial" w:hAnsi="Arial" w:cs="Arial"/>
                <w:noProof/>
                <w:szCs w:val="22"/>
              </w:rPr>
            </w:pPr>
            <w:r w:rsidRPr="00A13BE2">
              <w:rPr>
                <w:rFonts w:ascii="Arial" w:eastAsia="Verdana" w:hAnsi="Arial" w:cs="Arial"/>
                <w:szCs w:val="22"/>
              </w:rPr>
              <w:t>Experience of joint commissioning and collaborative working across multiple organisations (preferably local government, Health and other public sector partners, although experience from other sectors may be transferable).</w:t>
            </w:r>
          </w:p>
        </w:tc>
        <w:tc>
          <w:tcPr>
            <w:tcW w:w="987" w:type="pct"/>
          </w:tcPr>
          <w:p w14:paraId="72755D78" w14:textId="52394CED" w:rsidR="008243B8" w:rsidRPr="00A13BE2" w:rsidRDefault="008243B8" w:rsidP="00A13BE2">
            <w:pPr>
              <w:spacing w:before="120" w:after="120"/>
              <w:jc w:val="both"/>
              <w:rPr>
                <w:rFonts w:ascii="Arial" w:hAnsi="Arial" w:cs="Arial"/>
                <w:noProof/>
                <w:szCs w:val="22"/>
              </w:rPr>
            </w:pPr>
            <w:r>
              <w:rPr>
                <w:rFonts w:ascii="Arial" w:eastAsia="Arial" w:hAnsi="Arial" w:cs="Arial"/>
                <w:sz w:val="20"/>
                <w:szCs w:val="20"/>
              </w:rPr>
              <w:t>A, I</w:t>
            </w:r>
          </w:p>
        </w:tc>
      </w:tr>
      <w:tr w:rsidR="008243B8" w:rsidRPr="00A13BE2" w14:paraId="39E602BF" w14:textId="0A2DB0CB" w:rsidTr="0093547C">
        <w:trPr>
          <w:trHeight w:val="70"/>
        </w:trPr>
        <w:tc>
          <w:tcPr>
            <w:tcW w:w="4013" w:type="pct"/>
            <w:vAlign w:val="center"/>
          </w:tcPr>
          <w:p w14:paraId="75C8547E" w14:textId="3DDFA9E5" w:rsidR="008243B8" w:rsidRPr="00A13BE2" w:rsidRDefault="008243B8" w:rsidP="00A13BE2">
            <w:pPr>
              <w:pStyle w:val="Heading3"/>
              <w:rPr>
                <w:rFonts w:cs="Arial"/>
                <w:b w:val="0"/>
                <w:bCs w:val="0"/>
                <w:sz w:val="22"/>
                <w:szCs w:val="22"/>
              </w:rPr>
            </w:pPr>
            <w:r w:rsidRPr="00A13BE2">
              <w:rPr>
                <w:rFonts w:eastAsia="Verdana" w:cs="Arial"/>
                <w:b w:val="0"/>
                <w:bCs w:val="0"/>
                <w:sz w:val="22"/>
                <w:szCs w:val="22"/>
              </w:rPr>
              <w:lastRenderedPageBreak/>
              <w:t>Ability to communicate effectively, build strong relationships and work flexibly with a wide range of stakeholders including providers, service users and communities.</w:t>
            </w:r>
          </w:p>
        </w:tc>
        <w:tc>
          <w:tcPr>
            <w:tcW w:w="987" w:type="pct"/>
          </w:tcPr>
          <w:p w14:paraId="215E4E13" w14:textId="3816CFF7" w:rsidR="008243B8" w:rsidRPr="00A13BE2" w:rsidRDefault="008243B8" w:rsidP="00A13BE2">
            <w:pPr>
              <w:pStyle w:val="Heading3"/>
              <w:rPr>
                <w:b w:val="0"/>
                <w:bCs w:val="0"/>
                <w:sz w:val="22"/>
                <w:szCs w:val="22"/>
              </w:rPr>
            </w:pPr>
            <w:r>
              <w:rPr>
                <w:rFonts w:eastAsia="Arial" w:cs="Arial"/>
                <w:sz w:val="20"/>
                <w:szCs w:val="20"/>
              </w:rPr>
              <w:t>A, I</w:t>
            </w:r>
          </w:p>
        </w:tc>
      </w:tr>
      <w:tr w:rsidR="008243B8" w:rsidRPr="00A13BE2" w14:paraId="4340C717" w14:textId="6C0B8E24" w:rsidTr="0093547C">
        <w:tc>
          <w:tcPr>
            <w:tcW w:w="4013" w:type="pct"/>
            <w:vAlign w:val="center"/>
          </w:tcPr>
          <w:p w14:paraId="4812C7A5" w14:textId="77777777" w:rsidR="008243B8" w:rsidRPr="00A13BE2" w:rsidRDefault="008243B8" w:rsidP="00A13BE2">
            <w:pPr>
              <w:pBdr>
                <w:top w:val="nil"/>
                <w:left w:val="nil"/>
                <w:bottom w:val="nil"/>
                <w:right w:val="nil"/>
                <w:between w:val="nil"/>
              </w:pBdr>
              <w:spacing w:after="120"/>
              <w:ind w:left="284" w:hanging="284"/>
              <w:rPr>
                <w:rFonts w:ascii="Arial" w:eastAsia="Verdana" w:hAnsi="Arial" w:cs="Arial"/>
                <w:color w:val="000000"/>
                <w:szCs w:val="22"/>
              </w:rPr>
            </w:pPr>
            <w:r w:rsidRPr="00A13BE2">
              <w:rPr>
                <w:rFonts w:ascii="Arial" w:eastAsia="Verdana" w:hAnsi="Arial" w:cs="Arial"/>
                <w:color w:val="000000"/>
                <w:szCs w:val="22"/>
              </w:rPr>
              <w:t>Key Behaviours</w:t>
            </w:r>
          </w:p>
          <w:p w14:paraId="35A0C556" w14:textId="1BAFD871" w:rsidR="008243B8" w:rsidRPr="00E47C03" w:rsidRDefault="008243B8" w:rsidP="00E47C03">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Takes ownership and accountability for their personal performance. </w:t>
            </w:r>
          </w:p>
          <w:p w14:paraId="79B6A008" w14:textId="186675F6" w:rsidR="008243B8"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Builds strong relationships and networks, takes a collaborative approach with colleagues and stakeholders.  </w:t>
            </w:r>
          </w:p>
          <w:p w14:paraId="2DC80E79" w14:textId="6EE002F5" w:rsidR="008243B8" w:rsidRDefault="008243B8" w:rsidP="00E47C03">
            <w:pPr>
              <w:pBdr>
                <w:top w:val="nil"/>
                <w:left w:val="nil"/>
                <w:bottom w:val="nil"/>
                <w:right w:val="nil"/>
                <w:between w:val="nil"/>
              </w:pBdr>
              <w:spacing w:after="120"/>
              <w:rPr>
                <w:rFonts w:ascii="Arial" w:eastAsia="Verdana" w:hAnsi="Arial" w:cs="Arial"/>
                <w:color w:val="000000"/>
                <w:szCs w:val="22"/>
              </w:rPr>
            </w:pPr>
          </w:p>
          <w:p w14:paraId="6E263E20"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Role models a positive, can-do attitude with a continuous improvement mindset.</w:t>
            </w:r>
          </w:p>
          <w:p w14:paraId="4C2A4F21"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Is curious and actively seeks out emerging practices and development opportunities.</w:t>
            </w:r>
          </w:p>
          <w:p w14:paraId="0E2A886C"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Supports a strong team culture, empowering team members and supports team member’s learning and development.</w:t>
            </w:r>
          </w:p>
          <w:p w14:paraId="10C04C23"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Communicates and collaborates pro-actively.</w:t>
            </w:r>
          </w:p>
          <w:p w14:paraId="3C359755"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Displays informed decision making </w:t>
            </w:r>
          </w:p>
          <w:p w14:paraId="6EFB6FB1"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Promotes a blameless culture.</w:t>
            </w:r>
          </w:p>
          <w:p w14:paraId="3EF8D502"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Resilient, determined and confident</w:t>
            </w:r>
          </w:p>
          <w:p w14:paraId="6B10835E" w14:textId="77777777" w:rsidR="008243B8" w:rsidRPr="00A13BE2" w:rsidRDefault="008243B8"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Provides their direct reports defined structures and objectives and applies robust performance management</w:t>
            </w:r>
          </w:p>
          <w:p w14:paraId="085658FB" w14:textId="77777777" w:rsidR="008243B8" w:rsidRDefault="008243B8" w:rsidP="00D20593">
            <w:pPr>
              <w:numPr>
                <w:ilvl w:val="0"/>
                <w:numId w:val="3"/>
              </w:numPr>
              <w:spacing w:after="120"/>
              <w:rPr>
                <w:rFonts w:ascii="Arial" w:eastAsia="Verdana" w:hAnsi="Arial" w:cs="Arial"/>
                <w:color w:val="000000"/>
                <w:szCs w:val="22"/>
              </w:rPr>
            </w:pPr>
            <w:r w:rsidRPr="00A13BE2">
              <w:rPr>
                <w:rFonts w:ascii="Arial" w:eastAsia="Verdana" w:hAnsi="Arial" w:cs="Arial"/>
                <w:color w:val="000000"/>
                <w:szCs w:val="22"/>
              </w:rPr>
              <w:t>Making the best use of the Oxfordshire resources – money, people, skills, estates, equipment etc – looking beyond organisational boundaries</w:t>
            </w:r>
          </w:p>
          <w:p w14:paraId="48043D0B" w14:textId="4EF42C5A" w:rsidR="008243B8" w:rsidRPr="00D20593" w:rsidRDefault="008243B8" w:rsidP="00D20593">
            <w:pPr>
              <w:numPr>
                <w:ilvl w:val="0"/>
                <w:numId w:val="3"/>
              </w:numPr>
              <w:spacing w:after="120"/>
              <w:rPr>
                <w:rFonts w:ascii="Arial" w:eastAsia="Verdana" w:hAnsi="Arial" w:cs="Arial"/>
                <w:color w:val="000000"/>
                <w:szCs w:val="22"/>
              </w:rPr>
            </w:pPr>
            <w:r w:rsidRPr="00D20593">
              <w:rPr>
                <w:rFonts w:ascii="Arial" w:eastAsia="Verdana" w:hAnsi="Arial" w:cs="Arial"/>
                <w:color w:val="000000"/>
                <w:szCs w:val="22"/>
              </w:rPr>
              <w:t>Putting people and communities at the core of all we do</w:t>
            </w:r>
          </w:p>
        </w:tc>
        <w:tc>
          <w:tcPr>
            <w:tcW w:w="987" w:type="pct"/>
            <w:vAlign w:val="center"/>
          </w:tcPr>
          <w:p w14:paraId="65A698CC" w14:textId="0D628A76" w:rsidR="008243B8" w:rsidRPr="00A13BE2" w:rsidRDefault="008243B8" w:rsidP="00A13BE2">
            <w:pPr>
              <w:spacing w:before="120" w:after="120"/>
              <w:jc w:val="both"/>
              <w:rPr>
                <w:rFonts w:ascii="Arial" w:hAnsi="Arial" w:cs="Arial"/>
                <w:noProof/>
                <w:szCs w:val="22"/>
              </w:rPr>
            </w:pPr>
            <w:r>
              <w:rPr>
                <w:rFonts w:ascii="Arial" w:hAnsi="Arial" w:cs="Arial"/>
                <w:noProof/>
                <w:szCs w:val="22"/>
              </w:rPr>
              <w:t>I</w:t>
            </w:r>
          </w:p>
        </w:tc>
      </w:tr>
      <w:tr w:rsidR="008243B8" w:rsidRPr="00A13BE2" w14:paraId="369E3672" w14:textId="771D93F9" w:rsidTr="0093547C">
        <w:tc>
          <w:tcPr>
            <w:tcW w:w="4013" w:type="pct"/>
          </w:tcPr>
          <w:p w14:paraId="2722964C" w14:textId="1333C36C" w:rsidR="008243B8" w:rsidRPr="00A13BE2" w:rsidRDefault="008243B8" w:rsidP="00A13BE2">
            <w:pPr>
              <w:spacing w:before="120" w:after="120"/>
              <w:jc w:val="both"/>
              <w:rPr>
                <w:rFonts w:ascii="Arial" w:hAnsi="Arial" w:cs="Arial"/>
                <w:b/>
                <w:bCs/>
                <w:noProof/>
                <w:sz w:val="26"/>
                <w:szCs w:val="26"/>
              </w:rPr>
            </w:pPr>
            <w:r w:rsidRPr="00A13BE2">
              <w:rPr>
                <w:rFonts w:ascii="Arial" w:hAnsi="Arial" w:cs="Arial"/>
                <w:b/>
                <w:bCs/>
                <w:noProof/>
                <w:sz w:val="26"/>
                <w:szCs w:val="26"/>
              </w:rPr>
              <w:t xml:space="preserve">Desirable Criteria </w:t>
            </w:r>
          </w:p>
        </w:tc>
        <w:tc>
          <w:tcPr>
            <w:tcW w:w="987" w:type="pct"/>
          </w:tcPr>
          <w:p w14:paraId="74ECAC63" w14:textId="503B1635" w:rsidR="008243B8" w:rsidRPr="00A13BE2" w:rsidRDefault="008243B8" w:rsidP="00A13BE2">
            <w:pPr>
              <w:spacing w:before="120" w:after="120"/>
              <w:jc w:val="both"/>
              <w:rPr>
                <w:rFonts w:ascii="Arial" w:hAnsi="Arial" w:cs="Arial"/>
                <w:b/>
                <w:bCs/>
                <w:noProof/>
                <w:sz w:val="26"/>
                <w:szCs w:val="26"/>
              </w:rPr>
            </w:pPr>
            <w:r w:rsidRPr="00A13BE2">
              <w:rPr>
                <w:rFonts w:ascii="Arial" w:hAnsi="Arial" w:cs="Arial"/>
                <w:b/>
                <w:bCs/>
                <w:sz w:val="26"/>
                <w:szCs w:val="26"/>
              </w:rPr>
              <w:t>Assessed By:</w:t>
            </w:r>
          </w:p>
        </w:tc>
      </w:tr>
      <w:tr w:rsidR="008243B8" w:rsidRPr="00A13BE2" w14:paraId="7EE1ED4E" w14:textId="799FE7A8" w:rsidTr="0093547C">
        <w:tc>
          <w:tcPr>
            <w:tcW w:w="4013" w:type="pct"/>
          </w:tcPr>
          <w:p w14:paraId="79435A51" w14:textId="77777777" w:rsidR="008243B8" w:rsidRPr="00A13BE2" w:rsidRDefault="008243B8" w:rsidP="00A13BE2">
            <w:pPr>
              <w:widowControl w:val="0"/>
              <w:spacing w:after="120"/>
              <w:rPr>
                <w:rFonts w:ascii="Arial" w:eastAsia="Verdana" w:hAnsi="Arial" w:cs="Arial"/>
                <w:szCs w:val="22"/>
              </w:rPr>
            </w:pPr>
            <w:r w:rsidRPr="00A13BE2">
              <w:rPr>
                <w:rFonts w:ascii="Arial" w:eastAsia="Verdana" w:hAnsi="Arial" w:cs="Arial"/>
                <w:szCs w:val="22"/>
              </w:rPr>
              <w:t>Relevant qualification in Health, Education, Social Care or Commissioning.</w:t>
            </w:r>
          </w:p>
          <w:p w14:paraId="6E9B7D37" w14:textId="27ECD914" w:rsidR="008243B8" w:rsidRPr="00A13BE2" w:rsidRDefault="008243B8" w:rsidP="00A13BE2">
            <w:pPr>
              <w:spacing w:before="120" w:after="120"/>
              <w:jc w:val="both"/>
              <w:rPr>
                <w:rFonts w:ascii="Arial" w:hAnsi="Arial" w:cs="Arial"/>
                <w:szCs w:val="22"/>
              </w:rPr>
            </w:pPr>
            <w:r w:rsidRPr="00A13BE2">
              <w:rPr>
                <w:rFonts w:ascii="Arial" w:eastAsia="Verdana" w:hAnsi="Arial" w:cs="Arial"/>
                <w:szCs w:val="22"/>
              </w:rPr>
              <w:t>Postgraduate qualification in Strategic Commissioning, management or equivalent</w:t>
            </w:r>
          </w:p>
        </w:tc>
        <w:tc>
          <w:tcPr>
            <w:tcW w:w="987" w:type="pct"/>
          </w:tcPr>
          <w:p w14:paraId="5E1FA3F6" w14:textId="61490C20" w:rsidR="008243B8" w:rsidRPr="00A13BE2" w:rsidRDefault="008243B8" w:rsidP="00A13BE2">
            <w:pPr>
              <w:spacing w:before="120" w:after="120"/>
              <w:jc w:val="both"/>
              <w:rPr>
                <w:rFonts w:ascii="Arial" w:hAnsi="Arial" w:cs="Arial"/>
                <w:noProof/>
                <w:szCs w:val="22"/>
              </w:rPr>
            </w:pPr>
            <w:r w:rsidRPr="00A13BE2">
              <w:rPr>
                <w:rFonts w:ascii="Arial" w:eastAsia="Arial" w:hAnsi="Arial" w:cs="Arial"/>
                <w:szCs w:val="22"/>
              </w:rPr>
              <w:t xml:space="preserve">A, I </w:t>
            </w:r>
          </w:p>
        </w:tc>
      </w:tr>
      <w:tr w:rsidR="008243B8" w:rsidRPr="00A13BE2" w14:paraId="7CD147F1" w14:textId="08631FFE" w:rsidTr="0093547C">
        <w:tc>
          <w:tcPr>
            <w:tcW w:w="4013" w:type="pct"/>
          </w:tcPr>
          <w:p w14:paraId="3C59BA7A" w14:textId="53758151" w:rsidR="008243B8" w:rsidRPr="00A13BE2" w:rsidRDefault="008243B8" w:rsidP="00A13BE2">
            <w:pPr>
              <w:spacing w:before="120" w:after="120"/>
              <w:jc w:val="both"/>
              <w:rPr>
                <w:rFonts w:ascii="Arial" w:hAnsi="Arial" w:cs="Arial"/>
                <w:szCs w:val="22"/>
              </w:rPr>
            </w:pPr>
            <w:r w:rsidRPr="00A13BE2">
              <w:rPr>
                <w:rFonts w:ascii="Arial" w:eastAsia="Verdana" w:hAnsi="Arial" w:cs="Arial"/>
                <w:szCs w:val="22"/>
              </w:rPr>
              <w:t>An understanding of innovative concepts and ways of working to improve commissioning, such as outcomes-based commissioning, strengths-based approaches and new delivery models.</w:t>
            </w:r>
          </w:p>
        </w:tc>
        <w:tc>
          <w:tcPr>
            <w:tcW w:w="987" w:type="pct"/>
          </w:tcPr>
          <w:p w14:paraId="5953BEF3" w14:textId="2E4C7EFB" w:rsidR="008243B8" w:rsidRPr="00A13BE2" w:rsidRDefault="008243B8" w:rsidP="00A13BE2">
            <w:pPr>
              <w:spacing w:before="120" w:after="120"/>
              <w:jc w:val="both"/>
              <w:rPr>
                <w:rFonts w:ascii="Arial" w:hAnsi="Arial" w:cs="Arial"/>
                <w:noProof/>
                <w:szCs w:val="22"/>
              </w:rPr>
            </w:pPr>
            <w:r w:rsidRPr="00A13BE2">
              <w:rPr>
                <w:rFonts w:ascii="Arial" w:eastAsia="Arial" w:hAnsi="Arial" w:cs="Arial"/>
                <w:szCs w:val="22"/>
              </w:rPr>
              <w:t>A, I</w:t>
            </w:r>
          </w:p>
        </w:tc>
      </w:tr>
      <w:tr w:rsidR="008243B8" w:rsidRPr="00A13BE2" w14:paraId="122C0C39" w14:textId="6A56E484" w:rsidTr="0093547C">
        <w:tc>
          <w:tcPr>
            <w:tcW w:w="4013" w:type="pct"/>
          </w:tcPr>
          <w:p w14:paraId="1520DFF5" w14:textId="3EDDAD4A" w:rsidR="008243B8" w:rsidRPr="00A13BE2" w:rsidRDefault="008243B8" w:rsidP="00A13BE2">
            <w:pPr>
              <w:spacing w:before="120" w:after="120"/>
              <w:jc w:val="both"/>
              <w:rPr>
                <w:rFonts w:ascii="Arial" w:eastAsia="Verdana" w:hAnsi="Arial" w:cs="Arial"/>
                <w:szCs w:val="22"/>
              </w:rPr>
            </w:pPr>
            <w:r w:rsidRPr="00A13BE2">
              <w:rPr>
                <w:rFonts w:ascii="Arial" w:eastAsia="Verdana" w:hAnsi="Arial" w:cs="Arial"/>
                <w:szCs w:val="22"/>
              </w:rPr>
              <w:t xml:space="preserve">Good knowledge of the health, education and social care strategic landscape, including legislation, regulations, government guidance and policies. </w:t>
            </w:r>
          </w:p>
        </w:tc>
        <w:tc>
          <w:tcPr>
            <w:tcW w:w="987" w:type="pct"/>
          </w:tcPr>
          <w:p w14:paraId="293C87A2" w14:textId="594DCDC4" w:rsidR="008243B8" w:rsidRPr="00A13BE2" w:rsidRDefault="008243B8" w:rsidP="00A13BE2">
            <w:pPr>
              <w:spacing w:before="120" w:after="120"/>
              <w:jc w:val="both"/>
              <w:rPr>
                <w:rFonts w:ascii="Arial" w:eastAsia="Arial" w:hAnsi="Arial" w:cs="Arial"/>
                <w:szCs w:val="22"/>
              </w:rPr>
            </w:pPr>
            <w:r w:rsidRPr="00A13BE2">
              <w:rPr>
                <w:rFonts w:ascii="Arial" w:eastAsia="Arial" w:hAnsi="Arial" w:cs="Arial"/>
                <w:szCs w:val="22"/>
              </w:rPr>
              <w:t xml:space="preserve">A, I </w:t>
            </w:r>
          </w:p>
        </w:tc>
      </w:tr>
    </w:tbl>
    <w:p w14:paraId="03C1D653" w14:textId="77777777" w:rsidR="00114762" w:rsidRPr="00A13BE2" w:rsidRDefault="00114762" w:rsidP="00114762">
      <w:pPr>
        <w:rPr>
          <w:szCs w:val="22"/>
        </w:rPr>
        <w:sectPr w:rsidR="00114762" w:rsidRPr="00A13BE2" w:rsidSect="0093547C">
          <w:headerReference w:type="default" r:id="rId13"/>
          <w:footerReference w:type="even" r:id="rId14"/>
          <w:footerReference w:type="default" r:id="rId15"/>
          <w:headerReference w:type="first" r:id="rId16"/>
          <w:footerReference w:type="first" r:id="rId17"/>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Pr="00A13BE2" w:rsidRDefault="00114762" w:rsidP="00114762">
      <w:pPr>
        <w:rPr>
          <w:szCs w:val="22"/>
        </w:r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4F7B8D51"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6F4754">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0013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6B24E8">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0013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9EB85FD"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4CBFF1D"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8DF1A8F"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0040A18" w:rsidR="00114762" w:rsidRPr="00114762" w:rsidRDefault="0070013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0013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0C2C4B">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9C9F" w14:textId="77777777" w:rsidR="000C2C4B" w:rsidRDefault="000C2C4B" w:rsidP="007A55C8">
      <w:r>
        <w:separator/>
      </w:r>
    </w:p>
  </w:endnote>
  <w:endnote w:type="continuationSeparator" w:id="0">
    <w:p w14:paraId="57AF1A8B" w14:textId="77777777" w:rsidR="000C2C4B" w:rsidRDefault="000C2C4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C2C4B" w:rsidRDefault="000C2C4B" w:rsidP="000C2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C2C4B" w:rsidRDefault="000C2C4B" w:rsidP="000C2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0C2C4B" w:rsidRPr="0006028D" w:rsidRDefault="000C2C4B" w:rsidP="00D20953">
    <w:pPr>
      <w:pStyle w:val="Footer"/>
      <w:rPr>
        <w:rFonts w:ascii="Arial" w:hAnsi="Arial" w:cs="Arial"/>
        <w:szCs w:val="22"/>
      </w:rPr>
    </w:pPr>
    <w:r>
      <w:rPr>
        <w:noProof/>
        <w:lang w:eastAsia="en-GB"/>
      </w:rPr>
      <w:drawing>
        <wp:inline distT="0" distB="0" distL="0" distR="0" wp14:anchorId="4462784A" wp14:editId="0E0EFD20">
          <wp:extent cx="1876425" cy="603250"/>
          <wp:effectExtent l="0" t="0" r="9525" b="6350"/>
          <wp:docPr id="429559220" name="Picture 42955922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0C2C4B" w:rsidRDefault="000C2C4B" w:rsidP="000C2C4B">
    <w:pPr>
      <w:pStyle w:val="Footer"/>
      <w:ind w:firstLine="2880"/>
      <w:jc w:val="right"/>
      <w:rPr>
        <w:noProof/>
      </w:rPr>
    </w:pPr>
    <w:r>
      <w:rPr>
        <w:noProof/>
        <w:lang w:eastAsia="en-GB"/>
      </w:rPr>
      <w:drawing>
        <wp:inline distT="0" distB="0" distL="0" distR="0" wp14:anchorId="292EC791" wp14:editId="35D3E22B">
          <wp:extent cx="1876425" cy="603250"/>
          <wp:effectExtent l="0" t="0" r="9525" b="6350"/>
          <wp:docPr id="303077310" name="Picture 30307731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Pr>
        <w:noProof/>
      </w:rPr>
      <w:t xml:space="preserve">                                 </w:t>
    </w:r>
  </w:p>
  <w:p w14:paraId="2458FBAD" w14:textId="77777777" w:rsidR="000C2C4B" w:rsidRDefault="000C2C4B" w:rsidP="000C2C4B">
    <w:pPr>
      <w:pStyle w:val="Footer"/>
      <w:ind w:firstLine="2880"/>
      <w:jc w:val="right"/>
      <w:rPr>
        <w:rFonts w:ascii="Arial" w:hAnsi="Arial" w:cs="Arial"/>
        <w:noProof/>
      </w:rPr>
    </w:pPr>
  </w:p>
  <w:p w14:paraId="04BBDEFD" w14:textId="77777777" w:rsidR="000C2C4B" w:rsidRDefault="000C2C4B" w:rsidP="000C2C4B">
    <w:pPr>
      <w:pStyle w:val="Footer"/>
      <w:ind w:firstLine="2880"/>
      <w:jc w:val="right"/>
      <w:rPr>
        <w:rFonts w:ascii="Arial" w:hAnsi="Arial" w:cs="Arial"/>
        <w:noProof/>
      </w:rPr>
    </w:pPr>
  </w:p>
  <w:p w14:paraId="366639CC" w14:textId="77777777" w:rsidR="000C2C4B" w:rsidRDefault="000C2C4B" w:rsidP="000C2C4B">
    <w:pPr>
      <w:pStyle w:val="Footer"/>
      <w:ind w:firstLine="2880"/>
      <w:jc w:val="right"/>
      <w:rPr>
        <w:rFonts w:ascii="Arial" w:hAnsi="Arial" w:cs="Arial"/>
        <w:noProof/>
      </w:rPr>
    </w:pPr>
    <w:r>
      <w:rPr>
        <w:rFonts w:ascii="Arial" w:hAnsi="Arial" w:cs="Arial"/>
        <w:noProof/>
      </w:rPr>
      <w:t>Version 2.0 2019-10-16</w:t>
    </w:r>
  </w:p>
  <w:p w14:paraId="0AC40F32" w14:textId="77777777" w:rsidR="000C2C4B" w:rsidRPr="00911D65" w:rsidRDefault="000C2C4B" w:rsidP="000C2C4B">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4E456" w14:textId="77777777" w:rsidR="000C2C4B" w:rsidRDefault="000C2C4B" w:rsidP="007A55C8">
      <w:r>
        <w:separator/>
      </w:r>
    </w:p>
  </w:footnote>
  <w:footnote w:type="continuationSeparator" w:id="0">
    <w:p w14:paraId="68A03667" w14:textId="77777777" w:rsidR="000C2C4B" w:rsidRDefault="000C2C4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F84B" w14:textId="106BC0F7" w:rsidR="000C2C4B" w:rsidRDefault="000C2C4B">
    <w:pPr>
      <w:pStyle w:val="Header"/>
    </w:pPr>
    <w:r>
      <w:rPr>
        <w:noProof/>
        <w:lang w:eastAsia="en-GB"/>
      </w:rPr>
      <w:drawing>
        <wp:anchor distT="0" distB="0" distL="0" distR="0" simplePos="0" relativeHeight="251661312" behindDoc="0" locked="0" layoutInCell="1" hidden="0" allowOverlap="1" wp14:anchorId="514DB611" wp14:editId="742DD3BD">
          <wp:simplePos x="0" y="0"/>
          <wp:positionH relativeFrom="margin">
            <wp:posOffset>4495800</wp:posOffset>
          </wp:positionH>
          <wp:positionV relativeFrom="paragraph">
            <wp:posOffset>-200025</wp:posOffset>
          </wp:positionV>
          <wp:extent cx="2281555" cy="596900"/>
          <wp:effectExtent l="0" t="0" r="4445"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1555" cy="596900"/>
                  </a:xfrm>
                  <a:prstGeom prst="rect">
                    <a:avLst/>
                  </a:prstGeom>
                  <a:ln/>
                </pic:spPr>
              </pic:pic>
            </a:graphicData>
          </a:graphic>
        </wp:anchor>
      </w:drawing>
    </w:r>
    <w:r w:rsidR="0093547C">
      <w:rPr>
        <w:noProof/>
      </w:rPr>
      <w:drawing>
        <wp:inline distT="0" distB="0" distL="0" distR="0" wp14:anchorId="2C1792E4" wp14:editId="1F6B0B4A">
          <wp:extent cx="1845763" cy="740834"/>
          <wp:effectExtent l="0" t="0" r="2540" b="2540"/>
          <wp:docPr id="138920290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02907"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t="27900" b="31963"/>
                  <a:stretch/>
                </pic:blipFill>
                <pic:spPr bwMode="auto">
                  <a:xfrm>
                    <a:off x="0" y="0"/>
                    <a:ext cx="1861261" cy="747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0C2C4B" w:rsidRDefault="000C2C4B" w:rsidP="006C3EC9">
    <w:pPr>
      <w:pStyle w:val="Header"/>
      <w:jc w:val="right"/>
    </w:pPr>
    <w:r>
      <w:rPr>
        <w:noProof/>
        <w:lang w:eastAsia="en-GB"/>
      </w:rPr>
      <w:drawing>
        <wp:inline distT="0" distB="0" distL="0" distR="0" wp14:anchorId="70834556" wp14:editId="13D25EFF">
          <wp:extent cx="2281555" cy="596900"/>
          <wp:effectExtent l="0" t="0" r="4445" b="0"/>
          <wp:docPr id="256339605" name="Picture 25633960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C2C4B" w:rsidRDefault="000C2C4B" w:rsidP="000C2C4B">
    <w:pPr>
      <w:pStyle w:val="Header"/>
      <w:tabs>
        <w:tab w:val="clear" w:pos="4153"/>
        <w:tab w:val="clear" w:pos="8306"/>
        <w:tab w:val="left" w:pos="3315"/>
      </w:tabs>
    </w:pPr>
    <w:r>
      <w:rPr>
        <w:noProof/>
        <w:lang w:eastAsia="en-GB"/>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299243094" name="Picture 12992430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5F6"/>
    <w:multiLevelType w:val="hybridMultilevel"/>
    <w:tmpl w:val="DDE8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2293"/>
    <w:multiLevelType w:val="hybridMultilevel"/>
    <w:tmpl w:val="5174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E61DD"/>
    <w:multiLevelType w:val="hybridMultilevel"/>
    <w:tmpl w:val="29DE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313A3"/>
    <w:multiLevelType w:val="hybridMultilevel"/>
    <w:tmpl w:val="616A8C74"/>
    <w:lvl w:ilvl="0" w:tplc="510EDEDC">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57C33"/>
    <w:multiLevelType w:val="hybridMultilevel"/>
    <w:tmpl w:val="1FE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59BE"/>
    <w:multiLevelType w:val="hybridMultilevel"/>
    <w:tmpl w:val="52B20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A914364"/>
    <w:multiLevelType w:val="hybridMultilevel"/>
    <w:tmpl w:val="B3FC7F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95F53"/>
    <w:multiLevelType w:val="hybridMultilevel"/>
    <w:tmpl w:val="1466EED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BD6C71"/>
    <w:multiLevelType w:val="hybridMultilevel"/>
    <w:tmpl w:val="0422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1466C"/>
    <w:multiLevelType w:val="multilevel"/>
    <w:tmpl w:val="BDF62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DC574A"/>
    <w:multiLevelType w:val="hybridMultilevel"/>
    <w:tmpl w:val="E968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84585"/>
    <w:multiLevelType w:val="hybridMultilevel"/>
    <w:tmpl w:val="9E7A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93B0F"/>
    <w:multiLevelType w:val="hybridMultilevel"/>
    <w:tmpl w:val="0A2213AA"/>
    <w:lvl w:ilvl="0" w:tplc="08090005">
      <w:start w:val="1"/>
      <w:numFmt w:val="bullet"/>
      <w:lvlText w:val=""/>
      <w:lvlJc w:val="left"/>
      <w:pPr>
        <w:ind w:left="720" w:hanging="360"/>
      </w:pPr>
      <w:rPr>
        <w:rFonts w:ascii="Wingdings" w:hAnsi="Wingdings" w:hint="default"/>
      </w:rPr>
    </w:lvl>
    <w:lvl w:ilvl="1" w:tplc="E1285B8A">
      <w:numFmt w:val="bullet"/>
      <w:lvlText w:val="·"/>
      <w:lvlJc w:val="left"/>
      <w:pPr>
        <w:ind w:left="1635" w:hanging="55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14C15"/>
    <w:multiLevelType w:val="multilevel"/>
    <w:tmpl w:val="1470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8329AC"/>
    <w:multiLevelType w:val="hybridMultilevel"/>
    <w:tmpl w:val="BF1C0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7656E2"/>
    <w:multiLevelType w:val="hybridMultilevel"/>
    <w:tmpl w:val="DC425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E669C5"/>
    <w:multiLevelType w:val="hybridMultilevel"/>
    <w:tmpl w:val="931E5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987B41"/>
    <w:multiLevelType w:val="hybridMultilevel"/>
    <w:tmpl w:val="93B6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75179"/>
    <w:multiLevelType w:val="hybridMultilevel"/>
    <w:tmpl w:val="8C9221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62AAB"/>
    <w:multiLevelType w:val="hybridMultilevel"/>
    <w:tmpl w:val="1FF8F348"/>
    <w:lvl w:ilvl="0" w:tplc="A6BE3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474361"/>
    <w:multiLevelType w:val="hybridMultilevel"/>
    <w:tmpl w:val="643A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4075A"/>
    <w:multiLevelType w:val="hybridMultilevel"/>
    <w:tmpl w:val="D9006BCE"/>
    <w:lvl w:ilvl="0" w:tplc="B4BC4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77500A"/>
    <w:multiLevelType w:val="hybridMultilevel"/>
    <w:tmpl w:val="995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72BF8"/>
    <w:multiLevelType w:val="hybridMultilevel"/>
    <w:tmpl w:val="1284C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593103"/>
    <w:multiLevelType w:val="hybridMultilevel"/>
    <w:tmpl w:val="0B96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D3550"/>
    <w:multiLevelType w:val="hybridMultilevel"/>
    <w:tmpl w:val="D3BC8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065691">
    <w:abstractNumId w:val="6"/>
  </w:num>
  <w:num w:numId="2" w16cid:durableId="2124575427">
    <w:abstractNumId w:val="14"/>
  </w:num>
  <w:num w:numId="3" w16cid:durableId="1568570914">
    <w:abstractNumId w:val="10"/>
  </w:num>
  <w:num w:numId="4" w16cid:durableId="380787160">
    <w:abstractNumId w:val="11"/>
  </w:num>
  <w:num w:numId="5" w16cid:durableId="66998167">
    <w:abstractNumId w:val="5"/>
  </w:num>
  <w:num w:numId="6" w16cid:durableId="1919290573">
    <w:abstractNumId w:val="2"/>
  </w:num>
  <w:num w:numId="7" w16cid:durableId="1046874612">
    <w:abstractNumId w:val="4"/>
  </w:num>
  <w:num w:numId="8" w16cid:durableId="1592010644">
    <w:abstractNumId w:val="12"/>
  </w:num>
  <w:num w:numId="9" w16cid:durableId="220988838">
    <w:abstractNumId w:val="25"/>
  </w:num>
  <w:num w:numId="10" w16cid:durableId="1269195296">
    <w:abstractNumId w:val="7"/>
  </w:num>
  <w:num w:numId="11" w16cid:durableId="1116213226">
    <w:abstractNumId w:val="24"/>
  </w:num>
  <w:num w:numId="12" w16cid:durableId="432210641">
    <w:abstractNumId w:val="22"/>
  </w:num>
  <w:num w:numId="13" w16cid:durableId="1823081427">
    <w:abstractNumId w:val="8"/>
  </w:num>
  <w:num w:numId="14" w16cid:durableId="788625456">
    <w:abstractNumId w:val="15"/>
  </w:num>
  <w:num w:numId="15" w16cid:durableId="1854220898">
    <w:abstractNumId w:val="1"/>
  </w:num>
  <w:num w:numId="16" w16cid:durableId="1949308231">
    <w:abstractNumId w:val="18"/>
  </w:num>
  <w:num w:numId="17" w16cid:durableId="2099597121">
    <w:abstractNumId w:val="13"/>
  </w:num>
  <w:num w:numId="18" w16cid:durableId="2078161803">
    <w:abstractNumId w:val="23"/>
  </w:num>
  <w:num w:numId="19" w16cid:durableId="1800952196">
    <w:abstractNumId w:val="9"/>
  </w:num>
  <w:num w:numId="20" w16cid:durableId="1241409561">
    <w:abstractNumId w:val="21"/>
  </w:num>
  <w:num w:numId="21" w16cid:durableId="1052844597">
    <w:abstractNumId w:val="20"/>
  </w:num>
  <w:num w:numId="22" w16cid:durableId="1022125783">
    <w:abstractNumId w:val="17"/>
  </w:num>
  <w:num w:numId="23" w16cid:durableId="835151564">
    <w:abstractNumId w:val="3"/>
  </w:num>
  <w:num w:numId="24" w16cid:durableId="93866097">
    <w:abstractNumId w:val="16"/>
  </w:num>
  <w:num w:numId="25" w16cid:durableId="1594585922">
    <w:abstractNumId w:val="19"/>
  </w:num>
  <w:num w:numId="26" w16cid:durableId="125006488">
    <w:abstractNumId w:val="26"/>
  </w:num>
  <w:num w:numId="27" w16cid:durableId="198708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62"/>
    <w:rsid w:val="00042E71"/>
    <w:rsid w:val="0005612D"/>
    <w:rsid w:val="000654CE"/>
    <w:rsid w:val="00085FA2"/>
    <w:rsid w:val="00095994"/>
    <w:rsid w:val="000B4310"/>
    <w:rsid w:val="000B696C"/>
    <w:rsid w:val="000C2C4B"/>
    <w:rsid w:val="00114762"/>
    <w:rsid w:val="00125ADA"/>
    <w:rsid w:val="00171FB0"/>
    <w:rsid w:val="00172A40"/>
    <w:rsid w:val="00172E59"/>
    <w:rsid w:val="0019309F"/>
    <w:rsid w:val="001950C6"/>
    <w:rsid w:val="001A05F2"/>
    <w:rsid w:val="001C1ECC"/>
    <w:rsid w:val="001C51C6"/>
    <w:rsid w:val="002015F9"/>
    <w:rsid w:val="00225153"/>
    <w:rsid w:val="002537C0"/>
    <w:rsid w:val="002815A2"/>
    <w:rsid w:val="00286421"/>
    <w:rsid w:val="00295306"/>
    <w:rsid w:val="002B2B61"/>
    <w:rsid w:val="00361C14"/>
    <w:rsid w:val="00366FB1"/>
    <w:rsid w:val="003930B2"/>
    <w:rsid w:val="00393951"/>
    <w:rsid w:val="003B7993"/>
    <w:rsid w:val="003D19F8"/>
    <w:rsid w:val="003E7E21"/>
    <w:rsid w:val="004000D7"/>
    <w:rsid w:val="0042239E"/>
    <w:rsid w:val="00430550"/>
    <w:rsid w:val="00457B2F"/>
    <w:rsid w:val="0046450A"/>
    <w:rsid w:val="00481C8E"/>
    <w:rsid w:val="004942F3"/>
    <w:rsid w:val="0049433F"/>
    <w:rsid w:val="004963D9"/>
    <w:rsid w:val="004E77EF"/>
    <w:rsid w:val="00504E43"/>
    <w:rsid w:val="00507E7F"/>
    <w:rsid w:val="005538F8"/>
    <w:rsid w:val="005601E0"/>
    <w:rsid w:val="005C4C00"/>
    <w:rsid w:val="005D255F"/>
    <w:rsid w:val="005E0DBE"/>
    <w:rsid w:val="005E7A01"/>
    <w:rsid w:val="005F563B"/>
    <w:rsid w:val="0061568E"/>
    <w:rsid w:val="00622700"/>
    <w:rsid w:val="00623789"/>
    <w:rsid w:val="00630F8F"/>
    <w:rsid w:val="006316B7"/>
    <w:rsid w:val="00632EF6"/>
    <w:rsid w:val="00645BF1"/>
    <w:rsid w:val="00692E2D"/>
    <w:rsid w:val="006961A1"/>
    <w:rsid w:val="006A6FFD"/>
    <w:rsid w:val="006B24E8"/>
    <w:rsid w:val="006B51E3"/>
    <w:rsid w:val="006C11BB"/>
    <w:rsid w:val="006C3EC9"/>
    <w:rsid w:val="006D5E11"/>
    <w:rsid w:val="006F4754"/>
    <w:rsid w:val="00700075"/>
    <w:rsid w:val="0070013F"/>
    <w:rsid w:val="007004F3"/>
    <w:rsid w:val="007173A7"/>
    <w:rsid w:val="007532D6"/>
    <w:rsid w:val="007543D4"/>
    <w:rsid w:val="007573B9"/>
    <w:rsid w:val="00760609"/>
    <w:rsid w:val="00770394"/>
    <w:rsid w:val="007908F4"/>
    <w:rsid w:val="007A55C8"/>
    <w:rsid w:val="007B5FF4"/>
    <w:rsid w:val="007C354E"/>
    <w:rsid w:val="007E572B"/>
    <w:rsid w:val="008209A4"/>
    <w:rsid w:val="008243B8"/>
    <w:rsid w:val="008361E2"/>
    <w:rsid w:val="008410EF"/>
    <w:rsid w:val="00863690"/>
    <w:rsid w:val="00873872"/>
    <w:rsid w:val="00882BE9"/>
    <w:rsid w:val="00894289"/>
    <w:rsid w:val="008C0294"/>
    <w:rsid w:val="00907473"/>
    <w:rsid w:val="00917835"/>
    <w:rsid w:val="0093547C"/>
    <w:rsid w:val="00940E39"/>
    <w:rsid w:val="009459CC"/>
    <w:rsid w:val="00964A65"/>
    <w:rsid w:val="00980C0A"/>
    <w:rsid w:val="00982B49"/>
    <w:rsid w:val="009924D2"/>
    <w:rsid w:val="009A0323"/>
    <w:rsid w:val="009A5510"/>
    <w:rsid w:val="009B69A0"/>
    <w:rsid w:val="009C0072"/>
    <w:rsid w:val="009D2B03"/>
    <w:rsid w:val="009D33DD"/>
    <w:rsid w:val="009E1BCF"/>
    <w:rsid w:val="009F52DD"/>
    <w:rsid w:val="00A10998"/>
    <w:rsid w:val="00A13BE2"/>
    <w:rsid w:val="00A14B45"/>
    <w:rsid w:val="00A201C8"/>
    <w:rsid w:val="00A405EF"/>
    <w:rsid w:val="00A50C5D"/>
    <w:rsid w:val="00A52B0B"/>
    <w:rsid w:val="00A65E31"/>
    <w:rsid w:val="00A7260F"/>
    <w:rsid w:val="00A9055C"/>
    <w:rsid w:val="00A95A5E"/>
    <w:rsid w:val="00AB5939"/>
    <w:rsid w:val="00AF3637"/>
    <w:rsid w:val="00B0457A"/>
    <w:rsid w:val="00B1772A"/>
    <w:rsid w:val="00B24E80"/>
    <w:rsid w:val="00B760FF"/>
    <w:rsid w:val="00B8263D"/>
    <w:rsid w:val="00B973F5"/>
    <w:rsid w:val="00BB08C3"/>
    <w:rsid w:val="00BE594F"/>
    <w:rsid w:val="00BF2B27"/>
    <w:rsid w:val="00C05850"/>
    <w:rsid w:val="00C067D6"/>
    <w:rsid w:val="00C25A23"/>
    <w:rsid w:val="00C534B4"/>
    <w:rsid w:val="00C6488A"/>
    <w:rsid w:val="00C7665B"/>
    <w:rsid w:val="00C87C16"/>
    <w:rsid w:val="00CA7B8D"/>
    <w:rsid w:val="00CB40BC"/>
    <w:rsid w:val="00CD3466"/>
    <w:rsid w:val="00CE58E5"/>
    <w:rsid w:val="00D11EB7"/>
    <w:rsid w:val="00D20593"/>
    <w:rsid w:val="00D20953"/>
    <w:rsid w:val="00D34B00"/>
    <w:rsid w:val="00D757B0"/>
    <w:rsid w:val="00D869A5"/>
    <w:rsid w:val="00DA42DB"/>
    <w:rsid w:val="00DA7303"/>
    <w:rsid w:val="00DB624B"/>
    <w:rsid w:val="00DC38E1"/>
    <w:rsid w:val="00DD5498"/>
    <w:rsid w:val="00DF4741"/>
    <w:rsid w:val="00E062F6"/>
    <w:rsid w:val="00E34F5F"/>
    <w:rsid w:val="00E47C03"/>
    <w:rsid w:val="00E92042"/>
    <w:rsid w:val="00EB6F28"/>
    <w:rsid w:val="00EC3491"/>
    <w:rsid w:val="00EC5043"/>
    <w:rsid w:val="00ED4615"/>
    <w:rsid w:val="00EE14EB"/>
    <w:rsid w:val="00EF13BA"/>
    <w:rsid w:val="00F07D50"/>
    <w:rsid w:val="00F22BA3"/>
    <w:rsid w:val="00F50DFB"/>
    <w:rsid w:val="00F77FFC"/>
    <w:rsid w:val="00F96573"/>
    <w:rsid w:val="00FD3A85"/>
    <w:rsid w:val="00FD7AD2"/>
    <w:rsid w:val="00FE0F17"/>
    <w:rsid w:val="00FE29EF"/>
    <w:rsid w:val="00FF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3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3A7"/>
    <w:pPr>
      <w:ind w:left="720"/>
      <w:contextualSpacing/>
    </w:pPr>
  </w:style>
  <w:style w:type="paragraph" w:customStyle="1" w:styleId="xmsonormal">
    <w:name w:val="x_msonormal"/>
    <w:basedOn w:val="Normal"/>
    <w:rsid w:val="00CA7B8D"/>
    <w:pPr>
      <w:spacing w:before="100" w:beforeAutospacing="1" w:after="100" w:afterAutospacing="1"/>
    </w:pPr>
    <w:rPr>
      <w:rFonts w:ascii="Times New Roman" w:hAnsi="Times New Roman"/>
      <w:sz w:val="24"/>
      <w:lang w:eastAsia="en-GB"/>
    </w:rPr>
  </w:style>
  <w:style w:type="paragraph" w:customStyle="1" w:styleId="xmsolistparagraph">
    <w:name w:val="x_msolistparagraph"/>
    <w:basedOn w:val="Normal"/>
    <w:rsid w:val="00CA7B8D"/>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uiPriority w:val="99"/>
    <w:semiHidden/>
    <w:unhideWhenUsed/>
    <w:rsid w:val="009A0323"/>
    <w:rPr>
      <w:color w:val="800080" w:themeColor="followedHyperlink"/>
      <w:u w:val="single"/>
    </w:rPr>
  </w:style>
  <w:style w:type="paragraph" w:customStyle="1" w:styleId="paragraph">
    <w:name w:val="paragraph"/>
    <w:basedOn w:val="Normal"/>
    <w:rsid w:val="0093547C"/>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93547C"/>
  </w:style>
  <w:style w:type="character" w:customStyle="1" w:styleId="eop">
    <w:name w:val="eop"/>
    <w:basedOn w:val="DefaultParagraphFont"/>
    <w:rsid w:val="0093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05901">
      <w:bodyDiv w:val="1"/>
      <w:marLeft w:val="0"/>
      <w:marRight w:val="0"/>
      <w:marTop w:val="0"/>
      <w:marBottom w:val="0"/>
      <w:divBdr>
        <w:top w:val="none" w:sz="0" w:space="0" w:color="auto"/>
        <w:left w:val="none" w:sz="0" w:space="0" w:color="auto"/>
        <w:bottom w:val="none" w:sz="0" w:space="0" w:color="auto"/>
        <w:right w:val="none" w:sz="0" w:space="0" w:color="auto"/>
      </w:divBdr>
      <w:divsChild>
        <w:div w:id="169951154">
          <w:marLeft w:val="0"/>
          <w:marRight w:val="0"/>
          <w:marTop w:val="0"/>
          <w:marBottom w:val="0"/>
          <w:divBdr>
            <w:top w:val="none" w:sz="0" w:space="0" w:color="auto"/>
            <w:left w:val="none" w:sz="0" w:space="0" w:color="auto"/>
            <w:bottom w:val="none" w:sz="0" w:space="0" w:color="auto"/>
            <w:right w:val="none" w:sz="0" w:space="0" w:color="auto"/>
          </w:divBdr>
        </w:div>
        <w:div w:id="83638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9143F-75F8-4837-B4E8-D5BA8B683AA4}">
  <ds:schemaRefs>
    <ds:schemaRef ds:uri="http://schemas.openxmlformats.org/officeDocument/2006/bibliography"/>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purl.org/dc/terms/"/>
    <ds:schemaRef ds:uri="8b8d8bd0-ccef-4ae9-b84c-149dfdd4f9c8"/>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e347919-3534-46cc-b884-2608a962b3ba"/>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Taank, Bhavna - Oxfordshire County Council</cp:lastModifiedBy>
  <cp:revision>5</cp:revision>
  <dcterms:created xsi:type="dcterms:W3CDTF">2024-03-27T14:51:00Z</dcterms:created>
  <dcterms:modified xsi:type="dcterms:W3CDTF">2024-08-23T09:33:00Z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