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0FA13F37" w:rsidR="00F75D17" w:rsidRPr="00A14DE5" w:rsidRDefault="00F75D17" w:rsidP="00F75D17">
            <w:pPr>
              <w:pStyle w:val="Normaltable"/>
              <w:rPr>
                <w:rFonts w:ascii="Arial" w:hAnsi="Arial" w:cs="Arial"/>
                <w:color w:val="000000" w:themeColor="text1"/>
                <w:szCs w:val="22"/>
              </w:rPr>
            </w:pPr>
            <w:r w:rsidRPr="00A14DE5">
              <w:rPr>
                <w:rFonts w:ascii="Arial" w:hAnsi="Arial" w:cs="Arial"/>
                <w:szCs w:val="22"/>
              </w:rPr>
              <w:t xml:space="preserve">Salary: </w:t>
            </w:r>
            <w:r w:rsidR="003F4867" w:rsidRPr="003F4867">
              <w:rPr>
                <w:rFonts w:ascii="Helvetica" w:hAnsi="Helvetica" w:cs="Helvetica"/>
                <w:color w:val="333333"/>
                <w:sz w:val="23"/>
                <w:szCs w:val="23"/>
                <w:shd w:val="clear" w:color="auto" w:fill="EEEEEE"/>
              </w:rPr>
              <w:t xml:space="preserve"> </w:t>
            </w:r>
            <w:r w:rsidR="003F4867" w:rsidRPr="003F4867">
              <w:rPr>
                <w:rFonts w:ascii="Arial" w:hAnsi="Arial"/>
                <w:szCs w:val="22"/>
              </w:rPr>
              <w:t>£25</w:t>
            </w:r>
            <w:r w:rsidR="003F4867">
              <w:rPr>
                <w:rFonts w:ascii="Arial" w:hAnsi="Arial"/>
                <w:szCs w:val="22"/>
              </w:rPr>
              <w:t>,</w:t>
            </w:r>
            <w:r w:rsidR="003F4867" w:rsidRPr="003F4867">
              <w:rPr>
                <w:rFonts w:ascii="Arial" w:hAnsi="Arial"/>
                <w:szCs w:val="22"/>
              </w:rPr>
              <w:t>992 - £28</w:t>
            </w:r>
            <w:r w:rsidR="003F4867">
              <w:rPr>
                <w:rFonts w:ascii="Arial" w:hAnsi="Arial"/>
                <w:szCs w:val="22"/>
              </w:rPr>
              <w:t>,</w:t>
            </w:r>
            <w:r w:rsidR="003F4867" w:rsidRPr="003F4867">
              <w:rPr>
                <w:rFonts w:ascii="Arial" w:hAnsi="Arial"/>
                <w:szCs w:val="22"/>
              </w:rPr>
              <w:t>163</w:t>
            </w:r>
          </w:p>
          <w:p w14:paraId="193E595C" w14:textId="61BCBCBC" w:rsidR="00DD3ED0" w:rsidRPr="003F4867" w:rsidRDefault="00F75D17" w:rsidP="003F4867">
            <w:pPr>
              <w:pStyle w:val="Normaltable"/>
              <w:rPr>
                <w:rFonts w:ascii="Arial" w:hAnsi="Arial" w:cs="Arial"/>
                <w:szCs w:val="22"/>
              </w:rPr>
            </w:pPr>
            <w:r w:rsidRPr="00A14DE5">
              <w:rPr>
                <w:rFonts w:ascii="Arial" w:hAnsi="Arial" w:cs="Arial"/>
                <w:color w:val="000000" w:themeColor="text1"/>
                <w:szCs w:val="22"/>
              </w:rPr>
              <w:t>Pro Rata Term Time Only 39/52 weeks</w:t>
            </w:r>
            <w:r w:rsidRPr="00A14DE5">
              <w:rPr>
                <w:rFonts w:ascii="Arial" w:hAnsi="Arial" w:cs="Arial"/>
                <w:szCs w:val="22"/>
              </w:rPr>
              <w:t xml:space="preserve"> plus paid leave</w:t>
            </w:r>
            <w:r>
              <w:rPr>
                <w:rFonts w:ascii="Arial" w:hAnsi="Arial" w:cs="Arial"/>
                <w:szCs w:val="22"/>
              </w:rPr>
              <w:t xml:space="preserve"> (5.64 weeks)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7A9F8AE" w:rsidR="00114762" w:rsidRDefault="00EA39FE" w:rsidP="00DD3ED0">
            <w:r>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 xml:space="preserve">(Pro Rata: </w:t>
            </w:r>
            <w:r>
              <w:rPr>
                <w:rFonts w:ascii="Arial" w:hAnsi="Arial" w:cs="Arial"/>
                <w:szCs w:val="22"/>
              </w:rPr>
              <w:t>0.88FTE</w:t>
            </w:r>
            <w:r w:rsidR="00F75D17" w:rsidRPr="00A14DE5">
              <w:rPr>
                <w:rFonts w:ascii="Arial" w:hAnsi="Arial" w:cs="Arial"/>
                <w:szCs w:val="22"/>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1D6172A" w14:textId="50614DF1" w:rsidR="00F75D17" w:rsidRDefault="00EA39FE" w:rsidP="00F75D17">
            <w:pPr>
              <w:spacing w:before="60" w:after="60"/>
              <w:rPr>
                <w:rFonts w:ascii="Arial" w:hAnsi="Arial" w:cs="Arial"/>
                <w:szCs w:val="22"/>
              </w:rPr>
            </w:pPr>
            <w:r>
              <w:rPr>
                <w:rFonts w:ascii="Arial" w:hAnsi="Arial" w:cs="Arial"/>
                <w:szCs w:val="22"/>
              </w:rPr>
              <w:t>Cherwell</w:t>
            </w:r>
            <w:r w:rsidR="0004531F">
              <w:rPr>
                <w:rFonts w:ascii="Arial" w:hAnsi="Arial" w:cs="Arial"/>
                <w:szCs w:val="22"/>
              </w:rPr>
              <w:t xml:space="preserve"> Communication and Interaction Resource Base</w:t>
            </w:r>
          </w:p>
          <w:p w14:paraId="7D74D10D" w14:textId="3E359693" w:rsidR="0004531F" w:rsidRPr="00A14DE5" w:rsidRDefault="00EA39FE" w:rsidP="00F75D17">
            <w:pPr>
              <w:spacing w:before="60" w:after="60"/>
              <w:rPr>
                <w:rFonts w:ascii="Arial" w:hAnsi="Arial" w:cs="Arial"/>
                <w:szCs w:val="22"/>
              </w:rPr>
            </w:pPr>
            <w:r>
              <w:rPr>
                <w:rFonts w:ascii="Arial" w:hAnsi="Arial" w:cs="Arial"/>
                <w:szCs w:val="22"/>
              </w:rPr>
              <w:t>Cherwell</w:t>
            </w:r>
            <w:r w:rsidR="0004531F">
              <w:rPr>
                <w:rFonts w:ascii="Arial" w:hAnsi="Arial" w:cs="Arial"/>
                <w:szCs w:val="22"/>
              </w:rPr>
              <w:t xml:space="preserve"> School </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to help overcome barriers to learning in order to:</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Working under the guidance of specialist teachers, this includes supporting learning in mainstream lessons and through individual and small group interventions delivered in the base, as well as 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lastRenderedPageBreak/>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lastRenderedPageBreak/>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 xml:space="preserve">a test / exercise (T), an interview (I), </w:t>
      </w:r>
      <w:r w:rsidRPr="009F0647">
        <w:rPr>
          <w:rFonts w:ascii="Arial" w:hAnsi="Arial" w:cs="Arial"/>
          <w:bCs/>
        </w:rPr>
        <w:lastRenderedPageBreak/>
        <w:t>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02D629F" w:rsidR="00C57F20" w:rsidRPr="008113A7" w:rsidRDefault="00EA39FE">
      <w:r>
        <w:rPr>
          <w:rFonts w:ascii="Arial" w:hAnsi="Arial" w:cs="Arial"/>
          <w:iCs/>
          <w:szCs w:val="22"/>
        </w:rPr>
        <w:t>September</w:t>
      </w:r>
      <w:r w:rsidR="008113A7" w:rsidRPr="008113A7">
        <w:rPr>
          <w:rFonts w:ascii="Arial" w:hAnsi="Arial" w:cs="Arial"/>
          <w:iCs/>
          <w:szCs w:val="22"/>
        </w:rPr>
        <w:t xml:space="preserve"> 202</w:t>
      </w:r>
      <w:r>
        <w:rPr>
          <w:rFonts w:ascii="Arial" w:hAnsi="Arial" w:cs="Arial"/>
          <w:iCs/>
          <w:szCs w:val="22"/>
        </w:rPr>
        <w:t>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C09C" w14:textId="77777777" w:rsidR="00B142E5" w:rsidRDefault="00B142E5" w:rsidP="007A55C8">
      <w:r>
        <w:separator/>
      </w:r>
    </w:p>
  </w:endnote>
  <w:endnote w:type="continuationSeparator" w:id="0">
    <w:p w14:paraId="76C74330" w14:textId="77777777" w:rsidR="00B142E5" w:rsidRDefault="00B142E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B16E" w14:textId="77777777" w:rsidR="00B142E5" w:rsidRDefault="00B142E5" w:rsidP="007A55C8">
      <w:r>
        <w:separator/>
      </w:r>
    </w:p>
  </w:footnote>
  <w:footnote w:type="continuationSeparator" w:id="0">
    <w:p w14:paraId="716CC370" w14:textId="77777777" w:rsidR="00B142E5" w:rsidRDefault="00B142E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531F"/>
    <w:rsid w:val="00095994"/>
    <w:rsid w:val="000B4310"/>
    <w:rsid w:val="000C313F"/>
    <w:rsid w:val="00112331"/>
    <w:rsid w:val="00114762"/>
    <w:rsid w:val="00125ADA"/>
    <w:rsid w:val="00172A40"/>
    <w:rsid w:val="0019309F"/>
    <w:rsid w:val="001A3EA1"/>
    <w:rsid w:val="001E1A41"/>
    <w:rsid w:val="001E24E3"/>
    <w:rsid w:val="00212033"/>
    <w:rsid w:val="00246BAA"/>
    <w:rsid w:val="00277475"/>
    <w:rsid w:val="002B2D2A"/>
    <w:rsid w:val="002D135A"/>
    <w:rsid w:val="002D7147"/>
    <w:rsid w:val="00341B4B"/>
    <w:rsid w:val="00361C14"/>
    <w:rsid w:val="003666F1"/>
    <w:rsid w:val="003930B2"/>
    <w:rsid w:val="003E7E21"/>
    <w:rsid w:val="003F4867"/>
    <w:rsid w:val="004000D7"/>
    <w:rsid w:val="00406545"/>
    <w:rsid w:val="00447A18"/>
    <w:rsid w:val="00460CB3"/>
    <w:rsid w:val="004619FB"/>
    <w:rsid w:val="0046450A"/>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63889"/>
    <w:rsid w:val="008802E7"/>
    <w:rsid w:val="00882210"/>
    <w:rsid w:val="008C0294"/>
    <w:rsid w:val="008C335F"/>
    <w:rsid w:val="008D59C2"/>
    <w:rsid w:val="00914FCC"/>
    <w:rsid w:val="00925E8C"/>
    <w:rsid w:val="009768BA"/>
    <w:rsid w:val="00980C0A"/>
    <w:rsid w:val="009A7FD0"/>
    <w:rsid w:val="009D43F7"/>
    <w:rsid w:val="009E3B80"/>
    <w:rsid w:val="00A11959"/>
    <w:rsid w:val="00A30690"/>
    <w:rsid w:val="00A405EF"/>
    <w:rsid w:val="00A4734F"/>
    <w:rsid w:val="00A50C5D"/>
    <w:rsid w:val="00A827C9"/>
    <w:rsid w:val="00A9293D"/>
    <w:rsid w:val="00AC4424"/>
    <w:rsid w:val="00AD3168"/>
    <w:rsid w:val="00AD47F9"/>
    <w:rsid w:val="00AD56D5"/>
    <w:rsid w:val="00AD6792"/>
    <w:rsid w:val="00B0457A"/>
    <w:rsid w:val="00B120B5"/>
    <w:rsid w:val="00B142E5"/>
    <w:rsid w:val="00B26C50"/>
    <w:rsid w:val="00B402F1"/>
    <w:rsid w:val="00B50963"/>
    <w:rsid w:val="00BA65A0"/>
    <w:rsid w:val="00BE0F61"/>
    <w:rsid w:val="00BE3A8A"/>
    <w:rsid w:val="00C22EE6"/>
    <w:rsid w:val="00C57F20"/>
    <w:rsid w:val="00C7266D"/>
    <w:rsid w:val="00C7665B"/>
    <w:rsid w:val="00CA1CE8"/>
    <w:rsid w:val="00CA2BAB"/>
    <w:rsid w:val="00CA6F82"/>
    <w:rsid w:val="00CA70BE"/>
    <w:rsid w:val="00CB40BC"/>
    <w:rsid w:val="00CB71DC"/>
    <w:rsid w:val="00CD722C"/>
    <w:rsid w:val="00D00434"/>
    <w:rsid w:val="00D20953"/>
    <w:rsid w:val="00D757B0"/>
    <w:rsid w:val="00D93D43"/>
    <w:rsid w:val="00DA7303"/>
    <w:rsid w:val="00DB2194"/>
    <w:rsid w:val="00DB6037"/>
    <w:rsid w:val="00DD3ED0"/>
    <w:rsid w:val="00DF3CC6"/>
    <w:rsid w:val="00E34F5F"/>
    <w:rsid w:val="00E602BD"/>
    <w:rsid w:val="00E709E9"/>
    <w:rsid w:val="00E86136"/>
    <w:rsid w:val="00EA39FE"/>
    <w:rsid w:val="00EA6D19"/>
    <w:rsid w:val="00EB3DAE"/>
    <w:rsid w:val="00EB6F28"/>
    <w:rsid w:val="00EE76E6"/>
    <w:rsid w:val="00EF6D56"/>
    <w:rsid w:val="00F01386"/>
    <w:rsid w:val="00F22BA3"/>
    <w:rsid w:val="00F25B75"/>
    <w:rsid w:val="00F50B0D"/>
    <w:rsid w:val="00F6595A"/>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2025-04-01T12:04:00Z</dcterms:created>
  <dcterms:modified xsi:type="dcterms:W3CDTF">2025-04-09T12:21:00Z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